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EBB" w:rsidRDefault="00834EBB" w:rsidP="00834EBB">
      <w:pPr>
        <w:jc w:val="center"/>
        <w:rPr>
          <w:b/>
          <w:sz w:val="24"/>
          <w:szCs w:val="24"/>
        </w:rPr>
      </w:pPr>
      <w:r w:rsidRPr="00834EBB">
        <w:rPr>
          <w:b/>
          <w:sz w:val="24"/>
          <w:szCs w:val="24"/>
        </w:rPr>
        <w:t>ERASMUS SIKÇA SORULAN SORULAR</w:t>
      </w:r>
    </w:p>
    <w:p w:rsidR="00871D78" w:rsidRDefault="00871D78" w:rsidP="00834EBB">
      <w:pPr>
        <w:jc w:val="center"/>
        <w:rPr>
          <w:b/>
          <w:sz w:val="24"/>
          <w:szCs w:val="24"/>
        </w:rPr>
      </w:pPr>
    </w:p>
    <w:p w:rsidR="000F402E" w:rsidRPr="000F402E" w:rsidRDefault="000F402E" w:rsidP="000F402E">
      <w:pPr>
        <w:rPr>
          <w:b/>
          <w:sz w:val="24"/>
          <w:szCs w:val="24"/>
        </w:rPr>
      </w:pPr>
    </w:p>
    <w:p w:rsidR="000F402E" w:rsidRDefault="000F402E" w:rsidP="000F402E">
      <w:pPr>
        <w:pStyle w:val="ListeParagraf"/>
        <w:numPr>
          <w:ilvl w:val="0"/>
          <w:numId w:val="2"/>
        </w:numPr>
        <w:tabs>
          <w:tab w:val="left" w:pos="390"/>
        </w:tabs>
        <w:rPr>
          <w:sz w:val="24"/>
          <w:szCs w:val="24"/>
        </w:rPr>
      </w:pPr>
      <w:r w:rsidRPr="000F402E">
        <w:rPr>
          <w:sz w:val="24"/>
          <w:szCs w:val="24"/>
        </w:rPr>
        <w:t xml:space="preserve">Erasmus </w:t>
      </w:r>
      <w:r w:rsidR="00C61586">
        <w:rPr>
          <w:sz w:val="24"/>
          <w:szCs w:val="24"/>
        </w:rPr>
        <w:t>Nedir</w:t>
      </w:r>
      <w:r w:rsidRPr="000F402E">
        <w:rPr>
          <w:sz w:val="24"/>
          <w:szCs w:val="24"/>
        </w:rPr>
        <w:t xml:space="preserve">? </w:t>
      </w:r>
    </w:p>
    <w:p w:rsidR="00C61586" w:rsidRDefault="00C61586" w:rsidP="00C61586">
      <w:pPr>
        <w:pStyle w:val="ListeParagraf"/>
        <w:tabs>
          <w:tab w:val="left" w:pos="390"/>
        </w:tabs>
        <w:rPr>
          <w:sz w:val="24"/>
          <w:szCs w:val="24"/>
        </w:rPr>
      </w:pPr>
    </w:p>
    <w:p w:rsidR="00C61586" w:rsidRPr="00C61586" w:rsidRDefault="00C61586" w:rsidP="00C61586">
      <w:pPr>
        <w:pStyle w:val="ListeParagraf"/>
        <w:tabs>
          <w:tab w:val="left" w:pos="390"/>
        </w:tabs>
        <w:rPr>
          <w:sz w:val="24"/>
          <w:szCs w:val="24"/>
        </w:rPr>
      </w:pPr>
      <w:r w:rsidRPr="00C61586">
        <w:rPr>
          <w:sz w:val="24"/>
          <w:szCs w:val="24"/>
        </w:rPr>
        <w:t xml:space="preserve">Erasmus, Avrupa Birliği tarafından </w:t>
      </w:r>
      <w:r>
        <w:rPr>
          <w:sz w:val="24"/>
          <w:szCs w:val="24"/>
        </w:rPr>
        <w:t>yürütülen ve Avrupa'daki yüksek</w:t>
      </w:r>
      <w:r w:rsidRPr="00C61586">
        <w:rPr>
          <w:sz w:val="24"/>
          <w:szCs w:val="24"/>
        </w:rPr>
        <w:t>öğretim kurumları ile işbirliğini teşvik eden bir öğrenci değişim programıdır. Üniversite öğrencilerine başka bir Avrupa ülkesind</w:t>
      </w:r>
      <w:r w:rsidR="00385ED3">
        <w:rPr>
          <w:sz w:val="24"/>
          <w:szCs w:val="24"/>
        </w:rPr>
        <w:t>e staj ve eğitim deneyimi sağlamaktadır</w:t>
      </w:r>
      <w:r w:rsidRPr="00C61586">
        <w:rPr>
          <w:sz w:val="24"/>
          <w:szCs w:val="24"/>
        </w:rPr>
        <w:t>.</w:t>
      </w:r>
    </w:p>
    <w:p w:rsidR="00C61586" w:rsidRDefault="00C61586" w:rsidP="00C61586">
      <w:pPr>
        <w:pStyle w:val="ListeParagraf"/>
        <w:tabs>
          <w:tab w:val="left" w:pos="390"/>
        </w:tabs>
        <w:rPr>
          <w:sz w:val="24"/>
          <w:szCs w:val="24"/>
        </w:rPr>
      </w:pPr>
      <w:r w:rsidRPr="00C61586">
        <w:rPr>
          <w:sz w:val="24"/>
          <w:szCs w:val="24"/>
        </w:rPr>
        <w:t>Ülkeler arası değişim sayesinde öğrenciler farklı kültürlerle tanı</w:t>
      </w:r>
      <w:r w:rsidR="00385ED3">
        <w:rPr>
          <w:sz w:val="24"/>
          <w:szCs w:val="24"/>
        </w:rPr>
        <w:t>şır, yurtdışında deneyim kazanarak</w:t>
      </w:r>
      <w:r w:rsidRPr="00C61586">
        <w:rPr>
          <w:sz w:val="24"/>
          <w:szCs w:val="24"/>
        </w:rPr>
        <w:t xml:space="preserve"> ve </w:t>
      </w:r>
      <w:r w:rsidR="00385ED3">
        <w:rPr>
          <w:sz w:val="24"/>
          <w:szCs w:val="24"/>
        </w:rPr>
        <w:t>öğrenme fırsatlarını keşfedebilirler</w:t>
      </w:r>
      <w:r w:rsidRPr="00C61586">
        <w:rPr>
          <w:sz w:val="24"/>
          <w:szCs w:val="24"/>
        </w:rPr>
        <w:t>.</w:t>
      </w:r>
    </w:p>
    <w:p w:rsidR="00C61586" w:rsidRDefault="00C61586" w:rsidP="00C61586">
      <w:pPr>
        <w:pStyle w:val="ListeParagraf"/>
        <w:tabs>
          <w:tab w:val="left" w:pos="390"/>
        </w:tabs>
        <w:rPr>
          <w:sz w:val="24"/>
          <w:szCs w:val="24"/>
        </w:rPr>
      </w:pPr>
    </w:p>
    <w:p w:rsidR="000F402E" w:rsidRDefault="000F402E" w:rsidP="000F402E">
      <w:pPr>
        <w:pStyle w:val="ListeParagraf"/>
        <w:numPr>
          <w:ilvl w:val="0"/>
          <w:numId w:val="2"/>
        </w:numPr>
        <w:tabs>
          <w:tab w:val="left" w:pos="390"/>
        </w:tabs>
        <w:rPr>
          <w:sz w:val="24"/>
          <w:szCs w:val="24"/>
        </w:rPr>
      </w:pPr>
      <w:r>
        <w:rPr>
          <w:sz w:val="24"/>
          <w:szCs w:val="24"/>
        </w:rPr>
        <w:t>Erasmus Programına kimler başvurabilir?</w:t>
      </w:r>
    </w:p>
    <w:p w:rsidR="00C61586" w:rsidRDefault="00C61586" w:rsidP="00C61586">
      <w:pPr>
        <w:pStyle w:val="ListeParagraf"/>
        <w:tabs>
          <w:tab w:val="left" w:pos="390"/>
        </w:tabs>
        <w:rPr>
          <w:sz w:val="24"/>
          <w:szCs w:val="24"/>
        </w:rPr>
      </w:pPr>
    </w:p>
    <w:p w:rsidR="00C61586" w:rsidRPr="00C61586" w:rsidRDefault="00C61586" w:rsidP="00C61586">
      <w:pPr>
        <w:pStyle w:val="ListeParagraf"/>
        <w:tabs>
          <w:tab w:val="left" w:pos="390"/>
        </w:tabs>
        <w:rPr>
          <w:sz w:val="24"/>
          <w:szCs w:val="24"/>
        </w:rPr>
      </w:pPr>
      <w:r w:rsidRPr="00C61586">
        <w:rPr>
          <w:sz w:val="24"/>
          <w:szCs w:val="24"/>
        </w:rPr>
        <w:t>Ön</w:t>
      </w:r>
      <w:r>
        <w:rPr>
          <w:sz w:val="24"/>
          <w:szCs w:val="24"/>
        </w:rPr>
        <w:t xml:space="preserve"> </w:t>
      </w:r>
      <w:r w:rsidRPr="00C61586">
        <w:rPr>
          <w:sz w:val="24"/>
          <w:szCs w:val="24"/>
        </w:rPr>
        <w:t>lisans, Lisans, Yüksek Lisans ve Doktora Programı öğrencileri Erasmus + programına başvurabilir. Ge</w:t>
      </w:r>
      <w:r>
        <w:rPr>
          <w:sz w:val="24"/>
          <w:szCs w:val="24"/>
        </w:rPr>
        <w:t>nel başvuru koşulları aşağıdaki gibidir;</w:t>
      </w:r>
    </w:p>
    <w:p w:rsidR="00C61586" w:rsidRPr="00C61586" w:rsidRDefault="00C61586" w:rsidP="00C61586">
      <w:pPr>
        <w:pStyle w:val="ListeParagraf"/>
        <w:tabs>
          <w:tab w:val="left" w:pos="390"/>
        </w:tabs>
        <w:rPr>
          <w:sz w:val="24"/>
          <w:szCs w:val="24"/>
        </w:rPr>
      </w:pPr>
      <w:r w:rsidRPr="00C61586">
        <w:rPr>
          <w:sz w:val="24"/>
          <w:szCs w:val="24"/>
        </w:rPr>
        <w:t>• Tam zamanlı öğrenci olmak</w:t>
      </w:r>
    </w:p>
    <w:p w:rsidR="00C61586" w:rsidRPr="00C61586" w:rsidRDefault="00C61586" w:rsidP="00C61586">
      <w:pPr>
        <w:pStyle w:val="ListeParagraf"/>
        <w:tabs>
          <w:tab w:val="left" w:pos="390"/>
        </w:tabs>
        <w:rPr>
          <w:sz w:val="24"/>
          <w:szCs w:val="24"/>
        </w:rPr>
      </w:pPr>
      <w:r w:rsidRPr="00C61586">
        <w:rPr>
          <w:sz w:val="24"/>
          <w:szCs w:val="24"/>
        </w:rPr>
        <w:t>• Not Ortalaması: 2.20 (Ön lisans, Lisans) 2.50 (Lisansüstü)</w:t>
      </w:r>
    </w:p>
    <w:p w:rsidR="00C61586" w:rsidRPr="00C61586" w:rsidRDefault="00C61586" w:rsidP="00C61586">
      <w:pPr>
        <w:pStyle w:val="ListeParagraf"/>
        <w:tabs>
          <w:tab w:val="left" w:pos="390"/>
        </w:tabs>
        <w:rPr>
          <w:sz w:val="24"/>
          <w:szCs w:val="24"/>
        </w:rPr>
      </w:pPr>
      <w:r w:rsidRPr="00C61586">
        <w:rPr>
          <w:sz w:val="24"/>
          <w:szCs w:val="24"/>
        </w:rPr>
        <w:t>• Yeterli sayıda AKTS yükü (bir yarıyıl için 30 AKTS)</w:t>
      </w:r>
    </w:p>
    <w:p w:rsidR="00C61586" w:rsidRDefault="00C61586" w:rsidP="00C61586">
      <w:pPr>
        <w:pStyle w:val="ListeParagraf"/>
        <w:tabs>
          <w:tab w:val="left" w:pos="390"/>
        </w:tabs>
        <w:rPr>
          <w:sz w:val="24"/>
          <w:szCs w:val="24"/>
        </w:rPr>
      </w:pPr>
      <w:r w:rsidRPr="00C61586">
        <w:rPr>
          <w:sz w:val="24"/>
          <w:szCs w:val="24"/>
        </w:rPr>
        <w:t>• Erasmus etkinliğine daha önce katıldıysanız, toplam süre 12 ayı geçmemelidir.</w:t>
      </w:r>
    </w:p>
    <w:p w:rsidR="00C61586" w:rsidRPr="00C61586" w:rsidRDefault="00C61586" w:rsidP="00C61586">
      <w:pPr>
        <w:pStyle w:val="ListeParagraf"/>
        <w:tabs>
          <w:tab w:val="left" w:pos="390"/>
        </w:tabs>
        <w:rPr>
          <w:sz w:val="24"/>
          <w:szCs w:val="24"/>
        </w:rPr>
      </w:pPr>
    </w:p>
    <w:p w:rsidR="000F402E" w:rsidRDefault="009B6E3F" w:rsidP="000F402E">
      <w:pPr>
        <w:pStyle w:val="ListeParagraf"/>
        <w:numPr>
          <w:ilvl w:val="0"/>
          <w:numId w:val="2"/>
        </w:numPr>
        <w:tabs>
          <w:tab w:val="left" w:pos="390"/>
        </w:tabs>
        <w:rPr>
          <w:sz w:val="24"/>
          <w:szCs w:val="24"/>
        </w:rPr>
      </w:pPr>
      <w:r>
        <w:rPr>
          <w:sz w:val="24"/>
          <w:szCs w:val="24"/>
        </w:rPr>
        <w:t>Öğrenciler Erasm</w:t>
      </w:r>
      <w:r w:rsidR="000F402E">
        <w:rPr>
          <w:sz w:val="24"/>
          <w:szCs w:val="24"/>
        </w:rPr>
        <w:t>us Programına nasıl başvuru yapabilir ve seçim kriterleri nelerdir?</w:t>
      </w:r>
    </w:p>
    <w:p w:rsidR="00C61586" w:rsidRDefault="00C61586" w:rsidP="00C61586">
      <w:pPr>
        <w:pStyle w:val="ListeParagraf"/>
        <w:tabs>
          <w:tab w:val="left" w:pos="390"/>
        </w:tabs>
        <w:rPr>
          <w:sz w:val="24"/>
          <w:szCs w:val="24"/>
        </w:rPr>
      </w:pPr>
    </w:p>
    <w:p w:rsidR="00F27F40" w:rsidRDefault="00C61586" w:rsidP="00C61586">
      <w:pPr>
        <w:pStyle w:val="ListeParagraf"/>
        <w:tabs>
          <w:tab w:val="left" w:pos="390"/>
        </w:tabs>
        <w:rPr>
          <w:sz w:val="24"/>
          <w:szCs w:val="24"/>
        </w:rPr>
      </w:pPr>
      <w:r w:rsidRPr="00C61586">
        <w:rPr>
          <w:sz w:val="24"/>
          <w:szCs w:val="24"/>
        </w:rPr>
        <w:t>Öğrenciler Işık Üniversitesi Web Sitesi üzerinden ilan edilen başvuru çağrı</w:t>
      </w:r>
      <w:r w:rsidR="00F27F40">
        <w:rPr>
          <w:sz w:val="24"/>
          <w:szCs w:val="24"/>
        </w:rPr>
        <w:t>larını takip ederek</w:t>
      </w:r>
      <w:r w:rsidRPr="00C61586">
        <w:rPr>
          <w:sz w:val="24"/>
          <w:szCs w:val="24"/>
        </w:rPr>
        <w:t xml:space="preserve"> ve talep edilen belgelerle başvu</w:t>
      </w:r>
      <w:r w:rsidR="00F27F40">
        <w:rPr>
          <w:sz w:val="24"/>
          <w:szCs w:val="24"/>
        </w:rPr>
        <w:t>ru adımlarını tamamlamalıdır.</w:t>
      </w:r>
    </w:p>
    <w:p w:rsidR="00C61586" w:rsidRDefault="007C3445" w:rsidP="00C61586">
      <w:pPr>
        <w:pStyle w:val="ListeParagraf"/>
        <w:tabs>
          <w:tab w:val="left" w:pos="390"/>
        </w:tabs>
        <w:rPr>
          <w:sz w:val="24"/>
          <w:szCs w:val="24"/>
        </w:rPr>
      </w:pPr>
      <w:hyperlink r:id="rId5" w:history="1">
        <w:r w:rsidRPr="00216A0A">
          <w:rPr>
            <w:rStyle w:val="Kpr"/>
            <w:sz w:val="24"/>
            <w:szCs w:val="24"/>
          </w:rPr>
          <w:t>https://www.isikun.edu.tr/international/erasmus-and-exchange/outgoing-students/erasmus</w:t>
        </w:r>
      </w:hyperlink>
      <w:r>
        <w:rPr>
          <w:rStyle w:val="Kpr"/>
          <w:sz w:val="24"/>
          <w:szCs w:val="24"/>
        </w:rPr>
        <w:t xml:space="preserve"> </w:t>
      </w:r>
      <w:r w:rsidR="00C61586" w:rsidRPr="00C61586">
        <w:rPr>
          <w:sz w:val="24"/>
          <w:szCs w:val="24"/>
        </w:rPr>
        <w:t>Ulusal Ajans tarafından Erasmus Başvuru Kılavuzunda belirtilen seçim kriterlerine göre öğrenci seçimleri Erasmus Seçi</w:t>
      </w:r>
      <w:r w:rsidR="00385ED3">
        <w:rPr>
          <w:sz w:val="24"/>
          <w:szCs w:val="24"/>
        </w:rPr>
        <w:t>m Komitesi tarafından belirlenmektedir</w:t>
      </w:r>
      <w:r w:rsidR="00C61586" w:rsidRPr="00C61586">
        <w:rPr>
          <w:sz w:val="24"/>
          <w:szCs w:val="24"/>
        </w:rPr>
        <w:t>. Erasmus öğrenci seçimi, Ulusal Ajans tarafından ilan edilen değerlendirme kriterleri ve ağırlıklı puanlar dikkate alınarak, aranan asgari koşulları taşıyan öğrencilerden ve en yüksek puanla</w:t>
      </w:r>
      <w:r w:rsidR="00385ED3">
        <w:rPr>
          <w:sz w:val="24"/>
          <w:szCs w:val="24"/>
        </w:rPr>
        <w:t>rın sıralamasına göre yapılmaktadır.</w:t>
      </w:r>
    </w:p>
    <w:p w:rsidR="00C61586" w:rsidRDefault="00C61586" w:rsidP="00C61586">
      <w:pPr>
        <w:pStyle w:val="ListeParagraf"/>
        <w:tabs>
          <w:tab w:val="left" w:pos="390"/>
        </w:tabs>
        <w:rPr>
          <w:sz w:val="24"/>
          <w:szCs w:val="24"/>
        </w:rPr>
      </w:pPr>
    </w:p>
    <w:p w:rsidR="000F402E" w:rsidRDefault="000F402E" w:rsidP="000F402E">
      <w:pPr>
        <w:pStyle w:val="ListeParagraf"/>
        <w:numPr>
          <w:ilvl w:val="0"/>
          <w:numId w:val="2"/>
        </w:numPr>
        <w:tabs>
          <w:tab w:val="left" w:pos="390"/>
        </w:tabs>
        <w:rPr>
          <w:sz w:val="24"/>
          <w:szCs w:val="24"/>
        </w:rPr>
      </w:pPr>
      <w:r>
        <w:rPr>
          <w:sz w:val="24"/>
          <w:szCs w:val="24"/>
        </w:rPr>
        <w:t>Öğrenciler Erasmus Programı ile nereye gidebilir?</w:t>
      </w:r>
    </w:p>
    <w:p w:rsidR="000A7615" w:rsidRDefault="000A7615" w:rsidP="000A7615">
      <w:pPr>
        <w:pStyle w:val="ListeParagraf"/>
        <w:tabs>
          <w:tab w:val="left" w:pos="390"/>
        </w:tabs>
        <w:rPr>
          <w:sz w:val="24"/>
          <w:szCs w:val="24"/>
        </w:rPr>
      </w:pPr>
    </w:p>
    <w:p w:rsidR="000A7615" w:rsidRDefault="000A7615" w:rsidP="000A7615">
      <w:pPr>
        <w:pStyle w:val="ListeParagraf"/>
        <w:tabs>
          <w:tab w:val="left" w:pos="390"/>
        </w:tabs>
        <w:rPr>
          <w:sz w:val="24"/>
          <w:szCs w:val="24"/>
        </w:rPr>
      </w:pPr>
      <w:r>
        <w:rPr>
          <w:sz w:val="24"/>
          <w:szCs w:val="24"/>
        </w:rPr>
        <w:t>Öğrenciler, öğrenim</w:t>
      </w:r>
      <w:r w:rsidRPr="000A7615">
        <w:rPr>
          <w:sz w:val="24"/>
          <w:szCs w:val="24"/>
        </w:rPr>
        <w:t xml:space="preserve"> ve staj hareketliliği programları için aşağıdaki Program ülkelerine katılabilir:</w:t>
      </w:r>
    </w:p>
    <w:tbl>
      <w:tblPr>
        <w:tblStyle w:val="TabloKlavuzu"/>
        <w:tblW w:w="8321" w:type="dxa"/>
        <w:tblInd w:w="785" w:type="dxa"/>
        <w:tblLook w:val="04A0" w:firstRow="1" w:lastRow="0" w:firstColumn="1" w:lastColumn="0" w:noHBand="0" w:noVBand="1"/>
      </w:tblPr>
      <w:tblGrid>
        <w:gridCol w:w="2484"/>
        <w:gridCol w:w="5837"/>
      </w:tblGrid>
      <w:tr w:rsidR="000A7615" w:rsidTr="00CF256D">
        <w:trPr>
          <w:trHeight w:val="825"/>
        </w:trPr>
        <w:tc>
          <w:tcPr>
            <w:tcW w:w="2484" w:type="dxa"/>
          </w:tcPr>
          <w:p w:rsidR="000A7615" w:rsidRDefault="000A7615" w:rsidP="00CF256D">
            <w:pPr>
              <w:jc w:val="center"/>
              <w:rPr>
                <w:b/>
                <w:lang w:val="en-GB"/>
              </w:rPr>
            </w:pPr>
          </w:p>
          <w:p w:rsidR="000A7615" w:rsidRPr="009815B7" w:rsidRDefault="009815B7" w:rsidP="009815B7">
            <w:pPr>
              <w:rPr>
                <w:lang w:val="en-GB"/>
              </w:rPr>
            </w:pPr>
            <w:r w:rsidRPr="009815B7">
              <w:rPr>
                <w:lang w:val="en-GB"/>
              </w:rPr>
              <w:t xml:space="preserve">1.ve 2. Grup Program Ülkeleri </w:t>
            </w:r>
          </w:p>
        </w:tc>
        <w:tc>
          <w:tcPr>
            <w:tcW w:w="5837" w:type="dxa"/>
          </w:tcPr>
          <w:p w:rsidR="000A7615" w:rsidRDefault="009815B7" w:rsidP="00CF256D">
            <w:pPr>
              <w:rPr>
                <w:lang w:val="en-GB"/>
              </w:rPr>
            </w:pPr>
            <w:r w:rsidRPr="009815B7">
              <w:rPr>
                <w:lang w:val="en-GB"/>
              </w:rPr>
              <w:t>İngiltere, Danimarka, Finlandiya, İzlanda, İsveç, İzlanda, Lihtenştayn, Lüksemburg, Norveç, Almanya, Avusturya, Belçika, Fransa, Güney Kıbrıs, Hollanda, İspanya, İtalya, Malta, Portekiz, Yunanistan</w:t>
            </w:r>
          </w:p>
        </w:tc>
      </w:tr>
      <w:tr w:rsidR="000A7615" w:rsidTr="00CF256D">
        <w:trPr>
          <w:trHeight w:val="1025"/>
        </w:trPr>
        <w:tc>
          <w:tcPr>
            <w:tcW w:w="2484" w:type="dxa"/>
          </w:tcPr>
          <w:p w:rsidR="000A7615" w:rsidRDefault="000A7615" w:rsidP="00CF256D">
            <w:pPr>
              <w:pStyle w:val="ListeParagraf"/>
              <w:ind w:left="0"/>
              <w:rPr>
                <w:lang w:val="en-GB"/>
              </w:rPr>
            </w:pPr>
          </w:p>
          <w:p w:rsidR="000A7615" w:rsidRPr="006D127C" w:rsidRDefault="009815B7" w:rsidP="00CF256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3. Grup Program Ülkeleri</w:t>
            </w:r>
          </w:p>
        </w:tc>
        <w:tc>
          <w:tcPr>
            <w:tcW w:w="5837" w:type="dxa"/>
          </w:tcPr>
          <w:p w:rsidR="000A7615" w:rsidRDefault="009815B7" w:rsidP="00CF256D">
            <w:pPr>
              <w:pStyle w:val="ListeParagraf"/>
              <w:ind w:left="0"/>
              <w:rPr>
                <w:lang w:val="en-GB"/>
              </w:rPr>
            </w:pPr>
            <w:r w:rsidRPr="009815B7">
              <w:rPr>
                <w:lang w:val="en-GB"/>
              </w:rPr>
              <w:t>Bulgaristan, Çekya, Estonya, Macaristan, Letonya, Litvanya, Hırvatistan, Slovenya, Polonya, Sırbistan, Romanya, Slovakya, Makedonya</w:t>
            </w:r>
          </w:p>
        </w:tc>
      </w:tr>
    </w:tbl>
    <w:p w:rsidR="000A7615" w:rsidRDefault="000A7615" w:rsidP="000A7615">
      <w:pPr>
        <w:pStyle w:val="ListeParagraf"/>
        <w:tabs>
          <w:tab w:val="left" w:pos="390"/>
        </w:tabs>
        <w:rPr>
          <w:sz w:val="24"/>
          <w:szCs w:val="24"/>
        </w:rPr>
      </w:pPr>
    </w:p>
    <w:p w:rsidR="000F402E" w:rsidRDefault="000F402E" w:rsidP="000F402E">
      <w:pPr>
        <w:pStyle w:val="ListeParagraf"/>
        <w:numPr>
          <w:ilvl w:val="0"/>
          <w:numId w:val="2"/>
        </w:numPr>
        <w:tabs>
          <w:tab w:val="left" w:pos="390"/>
        </w:tabs>
        <w:rPr>
          <w:sz w:val="24"/>
          <w:szCs w:val="24"/>
        </w:rPr>
      </w:pPr>
      <w:r>
        <w:rPr>
          <w:sz w:val="24"/>
          <w:szCs w:val="24"/>
        </w:rPr>
        <w:t>Öğrenciler Partner Üniversitelerle ilgili detaylara nasıl ulaşabilir?</w:t>
      </w:r>
    </w:p>
    <w:p w:rsidR="00F27F40" w:rsidRDefault="00F27F40" w:rsidP="00F27F40">
      <w:pPr>
        <w:pStyle w:val="ListeParagraf"/>
        <w:tabs>
          <w:tab w:val="left" w:pos="390"/>
        </w:tabs>
        <w:rPr>
          <w:sz w:val="24"/>
          <w:szCs w:val="24"/>
        </w:rPr>
      </w:pPr>
    </w:p>
    <w:p w:rsidR="00F27F40" w:rsidRDefault="00F27F40" w:rsidP="00F27F40">
      <w:pPr>
        <w:pStyle w:val="ListeParagraf"/>
        <w:tabs>
          <w:tab w:val="left" w:pos="390"/>
        </w:tabs>
        <w:rPr>
          <w:sz w:val="24"/>
          <w:szCs w:val="24"/>
        </w:rPr>
      </w:pPr>
      <w:r>
        <w:rPr>
          <w:sz w:val="24"/>
          <w:szCs w:val="24"/>
        </w:rPr>
        <w:t>Partner üniversitelere ve kontenjan</w:t>
      </w:r>
      <w:r w:rsidRPr="00F27F40">
        <w:rPr>
          <w:sz w:val="24"/>
          <w:szCs w:val="24"/>
        </w:rPr>
        <w:t xml:space="preserve"> listelerine </w:t>
      </w:r>
      <w:r>
        <w:rPr>
          <w:sz w:val="24"/>
          <w:szCs w:val="24"/>
        </w:rPr>
        <w:t>aşağıdaki linkten ulaşabilirsiniz</w:t>
      </w:r>
      <w:r w:rsidRPr="00F27F40">
        <w:rPr>
          <w:sz w:val="24"/>
          <w:szCs w:val="24"/>
        </w:rPr>
        <w:t xml:space="preserve">. </w:t>
      </w:r>
      <w:hyperlink r:id="rId6" w:history="1">
        <w:r w:rsidRPr="00D17DCA">
          <w:rPr>
            <w:rStyle w:val="Kpr"/>
            <w:sz w:val="24"/>
            <w:szCs w:val="24"/>
          </w:rPr>
          <w:t>https://mobility.isikun.edu.tr/KION.UI.Web.ExchangeProgram/Public/AgemblyList.aspx?pId=7317</w:t>
        </w:r>
      </w:hyperlink>
      <w:r>
        <w:rPr>
          <w:sz w:val="24"/>
          <w:szCs w:val="24"/>
        </w:rPr>
        <w:t xml:space="preserve"> </w:t>
      </w:r>
    </w:p>
    <w:p w:rsidR="000F402E" w:rsidRDefault="000F402E" w:rsidP="000F402E">
      <w:pPr>
        <w:pStyle w:val="ListeParagraf"/>
        <w:numPr>
          <w:ilvl w:val="0"/>
          <w:numId w:val="2"/>
        </w:numPr>
        <w:tabs>
          <w:tab w:val="left" w:pos="390"/>
        </w:tabs>
        <w:rPr>
          <w:sz w:val="24"/>
          <w:szCs w:val="24"/>
        </w:rPr>
      </w:pPr>
      <w:r>
        <w:rPr>
          <w:sz w:val="24"/>
          <w:szCs w:val="24"/>
        </w:rPr>
        <w:t>Erasmus Başvuru Takvimi nedir?</w:t>
      </w:r>
    </w:p>
    <w:p w:rsidR="00F27F40" w:rsidRDefault="00F27F40" w:rsidP="00F27F40">
      <w:pPr>
        <w:pStyle w:val="ListeParagraf"/>
        <w:tabs>
          <w:tab w:val="left" w:pos="390"/>
        </w:tabs>
        <w:rPr>
          <w:sz w:val="24"/>
          <w:szCs w:val="24"/>
        </w:rPr>
      </w:pPr>
    </w:p>
    <w:p w:rsidR="00F27F40" w:rsidRDefault="00F27F40" w:rsidP="00F27F40">
      <w:pPr>
        <w:pStyle w:val="ListeParagraf"/>
        <w:tabs>
          <w:tab w:val="left" w:pos="390"/>
        </w:tabs>
        <w:rPr>
          <w:sz w:val="24"/>
          <w:szCs w:val="24"/>
        </w:rPr>
      </w:pPr>
      <w:r>
        <w:rPr>
          <w:sz w:val="24"/>
          <w:szCs w:val="24"/>
        </w:rPr>
        <w:t>Başvuru Çağrıları, eğitim ve staj hareketliliği için her yıl Şubat ayında açılmaktadı</w:t>
      </w:r>
      <w:r w:rsidRPr="00F27F40">
        <w:rPr>
          <w:sz w:val="24"/>
          <w:szCs w:val="24"/>
        </w:rPr>
        <w:t xml:space="preserve">r. Yıl içinde staj hareketliliği ve personel hareketliliği ile ilgili duyurular da yayınlanmaktadır. Duyuruları </w:t>
      </w:r>
      <w:r>
        <w:rPr>
          <w:sz w:val="24"/>
          <w:szCs w:val="24"/>
        </w:rPr>
        <w:t>web sitemizin ana sayfasından</w:t>
      </w:r>
      <w:r w:rsidRPr="00F27F40">
        <w:rPr>
          <w:sz w:val="24"/>
          <w:szCs w:val="24"/>
        </w:rPr>
        <w:t xml:space="preserve"> ve uluslararası ofis sayfasından takip edebilirsiniz. </w:t>
      </w:r>
      <w:hyperlink r:id="rId7" w:history="1">
        <w:r w:rsidRPr="00D17DCA">
          <w:rPr>
            <w:rStyle w:val="Kpr"/>
            <w:sz w:val="24"/>
            <w:szCs w:val="24"/>
          </w:rPr>
          <w:t>https://www.isikun.edu.tr/international/announcement</w:t>
        </w:r>
      </w:hyperlink>
      <w:r>
        <w:rPr>
          <w:sz w:val="24"/>
          <w:szCs w:val="24"/>
        </w:rPr>
        <w:t xml:space="preserve"> </w:t>
      </w:r>
    </w:p>
    <w:p w:rsidR="00F27F40" w:rsidRDefault="00F27F40" w:rsidP="00F27F40">
      <w:pPr>
        <w:pStyle w:val="ListeParagraf"/>
        <w:tabs>
          <w:tab w:val="left" w:pos="390"/>
        </w:tabs>
        <w:rPr>
          <w:sz w:val="24"/>
          <w:szCs w:val="24"/>
        </w:rPr>
      </w:pPr>
    </w:p>
    <w:p w:rsidR="000F402E" w:rsidRDefault="00F27F40" w:rsidP="000F402E">
      <w:pPr>
        <w:pStyle w:val="ListeParagraf"/>
        <w:numPr>
          <w:ilvl w:val="0"/>
          <w:numId w:val="2"/>
        </w:numPr>
        <w:tabs>
          <w:tab w:val="left" w:pos="390"/>
        </w:tabs>
        <w:rPr>
          <w:sz w:val="24"/>
          <w:szCs w:val="24"/>
        </w:rPr>
      </w:pPr>
      <w:r>
        <w:rPr>
          <w:sz w:val="24"/>
          <w:szCs w:val="24"/>
        </w:rPr>
        <w:t>Üniversite, pasaport, vize</w:t>
      </w:r>
      <w:r w:rsidR="000F402E">
        <w:rPr>
          <w:sz w:val="24"/>
          <w:szCs w:val="24"/>
        </w:rPr>
        <w:t>, konaklama gibi seyahat sürecinde öğrenciye destek oluyor mu?</w:t>
      </w:r>
    </w:p>
    <w:p w:rsidR="00F27F40" w:rsidRDefault="00F27F40" w:rsidP="00F27F40">
      <w:pPr>
        <w:pStyle w:val="ListeParagraf"/>
        <w:tabs>
          <w:tab w:val="left" w:pos="390"/>
        </w:tabs>
        <w:rPr>
          <w:sz w:val="24"/>
          <w:szCs w:val="24"/>
        </w:rPr>
      </w:pPr>
      <w:r w:rsidRPr="00F27F40">
        <w:rPr>
          <w:sz w:val="24"/>
          <w:szCs w:val="24"/>
        </w:rPr>
        <w:t>Pasaport çıkarma, vize alma, konaklama gibi seyahat işlemleri öğrencilerin sorumluluğundadır ve dikkatlice tamamlanmalıdır. Bazı durumlarda, gerektiğinde ilgili birimler tarafından daha fazla destek verilecektir.</w:t>
      </w:r>
    </w:p>
    <w:p w:rsidR="00F27F40" w:rsidRDefault="00F27F40" w:rsidP="00F27F40">
      <w:pPr>
        <w:pStyle w:val="ListeParagraf"/>
        <w:tabs>
          <w:tab w:val="left" w:pos="390"/>
        </w:tabs>
        <w:rPr>
          <w:sz w:val="24"/>
          <w:szCs w:val="24"/>
        </w:rPr>
      </w:pPr>
    </w:p>
    <w:p w:rsidR="000F402E" w:rsidRDefault="000F402E" w:rsidP="000F402E">
      <w:pPr>
        <w:pStyle w:val="ListeParagraf"/>
        <w:numPr>
          <w:ilvl w:val="0"/>
          <w:numId w:val="2"/>
        </w:numPr>
        <w:tabs>
          <w:tab w:val="left" w:pos="390"/>
        </w:tabs>
        <w:rPr>
          <w:sz w:val="24"/>
          <w:szCs w:val="24"/>
        </w:rPr>
      </w:pPr>
      <w:r>
        <w:rPr>
          <w:sz w:val="24"/>
          <w:szCs w:val="24"/>
        </w:rPr>
        <w:t>Öğrenciler mezun olduktan sonra Erasmus Programına katılabilir mi?</w:t>
      </w:r>
    </w:p>
    <w:p w:rsidR="00385ED3" w:rsidRDefault="00385ED3" w:rsidP="00385ED3">
      <w:pPr>
        <w:pStyle w:val="ListeParagraf"/>
        <w:tabs>
          <w:tab w:val="left" w:pos="390"/>
        </w:tabs>
        <w:rPr>
          <w:sz w:val="24"/>
          <w:szCs w:val="24"/>
        </w:rPr>
      </w:pPr>
    </w:p>
    <w:p w:rsidR="00385ED3" w:rsidRDefault="00385ED3" w:rsidP="00385ED3">
      <w:pPr>
        <w:pStyle w:val="ListeParagraf"/>
        <w:tabs>
          <w:tab w:val="left" w:pos="390"/>
        </w:tabs>
        <w:rPr>
          <w:sz w:val="24"/>
          <w:szCs w:val="24"/>
        </w:rPr>
      </w:pPr>
      <w:r w:rsidRPr="00385ED3">
        <w:rPr>
          <w:sz w:val="24"/>
          <w:szCs w:val="24"/>
        </w:rPr>
        <w:t>Staj hareketliliği çerçevesinde öğrenciler, mezuniyet öncesi başvurunun yapılması ve seçilmesi şartıyla mezun olduktan sonraki 12 ay içinde staj hareketliliğine katılabilirler.</w:t>
      </w:r>
    </w:p>
    <w:p w:rsidR="00385ED3" w:rsidRDefault="00385ED3" w:rsidP="00385ED3">
      <w:pPr>
        <w:pStyle w:val="ListeParagraf"/>
        <w:tabs>
          <w:tab w:val="left" w:pos="390"/>
        </w:tabs>
        <w:rPr>
          <w:sz w:val="24"/>
          <w:szCs w:val="24"/>
        </w:rPr>
      </w:pPr>
    </w:p>
    <w:p w:rsidR="000F402E" w:rsidRDefault="000F402E" w:rsidP="000F402E">
      <w:pPr>
        <w:pStyle w:val="ListeParagraf"/>
        <w:numPr>
          <w:ilvl w:val="0"/>
          <w:numId w:val="2"/>
        </w:numPr>
        <w:tabs>
          <w:tab w:val="left" w:pos="390"/>
        </w:tabs>
        <w:rPr>
          <w:sz w:val="24"/>
          <w:szCs w:val="24"/>
        </w:rPr>
      </w:pPr>
      <w:r>
        <w:rPr>
          <w:sz w:val="24"/>
          <w:szCs w:val="24"/>
        </w:rPr>
        <w:t>Öğrenciler hem staj hem öğrenim hareketliliğine katılım sağlayabilir mi?</w:t>
      </w:r>
    </w:p>
    <w:p w:rsidR="00385ED3" w:rsidRDefault="00385ED3" w:rsidP="00385ED3">
      <w:pPr>
        <w:pStyle w:val="ListeParagraf"/>
        <w:tabs>
          <w:tab w:val="left" w:pos="390"/>
        </w:tabs>
        <w:rPr>
          <w:sz w:val="24"/>
          <w:szCs w:val="24"/>
        </w:rPr>
      </w:pPr>
    </w:p>
    <w:p w:rsidR="00385ED3" w:rsidRDefault="00385ED3" w:rsidP="00385ED3">
      <w:pPr>
        <w:pStyle w:val="ListeParagraf"/>
        <w:tabs>
          <w:tab w:val="left" w:pos="390"/>
        </w:tabs>
        <w:rPr>
          <w:sz w:val="24"/>
          <w:szCs w:val="24"/>
        </w:rPr>
      </w:pPr>
      <w:r w:rsidRPr="00385ED3">
        <w:rPr>
          <w:sz w:val="24"/>
          <w:szCs w:val="24"/>
        </w:rPr>
        <w:t>Öğrenciler her iki programa aynı anda veya farklı zamanlarda katılabilirler. Aynı zamanda başvuru yapılması durumunda değe</w:t>
      </w:r>
      <w:r>
        <w:rPr>
          <w:sz w:val="24"/>
          <w:szCs w:val="24"/>
        </w:rPr>
        <w:t xml:space="preserve">rlendirmede “-10 puan” uygulaması yapılmaktadır </w:t>
      </w:r>
      <w:r w:rsidRPr="00385ED3">
        <w:rPr>
          <w:sz w:val="24"/>
          <w:szCs w:val="24"/>
        </w:rPr>
        <w:t xml:space="preserve"> ve hangi hareketlilik için uygulanacağı öğrencinin seçimine b</w:t>
      </w:r>
      <w:r>
        <w:rPr>
          <w:sz w:val="24"/>
          <w:szCs w:val="24"/>
        </w:rPr>
        <w:t>ırakılır</w:t>
      </w:r>
      <w:r w:rsidRPr="00385ED3">
        <w:rPr>
          <w:sz w:val="24"/>
          <w:szCs w:val="24"/>
        </w:rPr>
        <w:t>. Öğrenciler her eğitim seviyesinde (Ön</w:t>
      </w:r>
      <w:r>
        <w:rPr>
          <w:sz w:val="24"/>
          <w:szCs w:val="24"/>
        </w:rPr>
        <w:t xml:space="preserve"> </w:t>
      </w:r>
      <w:r w:rsidRPr="00385ED3">
        <w:rPr>
          <w:sz w:val="24"/>
          <w:szCs w:val="24"/>
        </w:rPr>
        <w:t>lisans, Lisans, Yüksek Lisans ve Doktora) program çerçevesinde 12 ay boyunca hareketliliğe katılabilirler. Staj süreleri minimum 2 ay maksimum 12 aydır. Hibe almaya hak kazandığınız ve ne kadar süreyle hibe alabileceğiniz, değerlendirme-seçim sü</w:t>
      </w:r>
      <w:r>
        <w:rPr>
          <w:sz w:val="24"/>
          <w:szCs w:val="24"/>
        </w:rPr>
        <w:t>reçlerinden sonra açıklanmaktadır</w:t>
      </w:r>
      <w:r w:rsidRPr="00385ED3">
        <w:rPr>
          <w:sz w:val="24"/>
          <w:szCs w:val="24"/>
        </w:rPr>
        <w:t>.</w:t>
      </w:r>
    </w:p>
    <w:p w:rsidR="00385ED3" w:rsidRPr="00385ED3" w:rsidRDefault="00385ED3" w:rsidP="00385ED3">
      <w:pPr>
        <w:pStyle w:val="ListeParagraf"/>
        <w:tabs>
          <w:tab w:val="left" w:pos="390"/>
        </w:tabs>
        <w:rPr>
          <w:sz w:val="24"/>
          <w:szCs w:val="24"/>
        </w:rPr>
      </w:pPr>
    </w:p>
    <w:p w:rsidR="000F402E" w:rsidRDefault="000F402E" w:rsidP="000F402E">
      <w:pPr>
        <w:pStyle w:val="ListeParagraf"/>
        <w:numPr>
          <w:ilvl w:val="0"/>
          <w:numId w:val="2"/>
        </w:numPr>
        <w:tabs>
          <w:tab w:val="left" w:pos="390"/>
        </w:tabs>
        <w:rPr>
          <w:sz w:val="24"/>
          <w:szCs w:val="24"/>
        </w:rPr>
      </w:pPr>
      <w:r>
        <w:rPr>
          <w:sz w:val="24"/>
          <w:szCs w:val="24"/>
        </w:rPr>
        <w:t xml:space="preserve"> Öğrenciler gidilen üniversitede her dönem başına kaç AKTS almalıdır?</w:t>
      </w:r>
    </w:p>
    <w:p w:rsidR="00385ED3" w:rsidRDefault="00385ED3" w:rsidP="00385ED3">
      <w:pPr>
        <w:pStyle w:val="ListeParagraf"/>
        <w:tabs>
          <w:tab w:val="left" w:pos="390"/>
        </w:tabs>
        <w:rPr>
          <w:sz w:val="24"/>
          <w:szCs w:val="24"/>
        </w:rPr>
      </w:pPr>
    </w:p>
    <w:p w:rsidR="00385ED3" w:rsidRDefault="00385ED3" w:rsidP="00385ED3">
      <w:pPr>
        <w:pStyle w:val="ListeParagraf"/>
        <w:tabs>
          <w:tab w:val="left" w:pos="390"/>
        </w:tabs>
        <w:rPr>
          <w:sz w:val="24"/>
          <w:szCs w:val="24"/>
        </w:rPr>
      </w:pPr>
      <w:r w:rsidRPr="00385ED3">
        <w:rPr>
          <w:sz w:val="24"/>
          <w:szCs w:val="24"/>
        </w:rPr>
        <w:t>Öğrenim hareketliliğine katılacak öğrencilerin 1 dönem için 30 AKTS ve 1 akademik yıl için 60 AKTS almaları gerekmektedir. Ortak üniversitede öğrenciler tarafından alınan dersler için tam tanınma sağlanmaktadır.</w:t>
      </w:r>
    </w:p>
    <w:p w:rsidR="00FE6DA6" w:rsidRDefault="00FE6DA6" w:rsidP="00385ED3">
      <w:pPr>
        <w:pStyle w:val="ListeParagraf"/>
        <w:tabs>
          <w:tab w:val="left" w:pos="390"/>
        </w:tabs>
        <w:rPr>
          <w:sz w:val="24"/>
          <w:szCs w:val="24"/>
        </w:rPr>
      </w:pPr>
    </w:p>
    <w:p w:rsidR="00FE6DA6" w:rsidRDefault="00FE6DA6" w:rsidP="00385ED3">
      <w:pPr>
        <w:pStyle w:val="ListeParagraf"/>
        <w:tabs>
          <w:tab w:val="left" w:pos="390"/>
        </w:tabs>
        <w:rPr>
          <w:sz w:val="24"/>
          <w:szCs w:val="24"/>
        </w:rPr>
      </w:pPr>
    </w:p>
    <w:p w:rsidR="00385ED3" w:rsidRDefault="00385ED3" w:rsidP="00385ED3">
      <w:pPr>
        <w:pStyle w:val="ListeParagraf"/>
        <w:tabs>
          <w:tab w:val="left" w:pos="390"/>
        </w:tabs>
        <w:rPr>
          <w:sz w:val="24"/>
          <w:szCs w:val="24"/>
        </w:rPr>
      </w:pPr>
    </w:p>
    <w:p w:rsidR="00385ED3" w:rsidRDefault="000F402E" w:rsidP="00385ED3">
      <w:pPr>
        <w:pStyle w:val="ListeParagraf"/>
        <w:numPr>
          <w:ilvl w:val="0"/>
          <w:numId w:val="2"/>
        </w:numPr>
        <w:tabs>
          <w:tab w:val="left" w:pos="39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Öğrenciler ne kadar hibe alır?</w:t>
      </w:r>
    </w:p>
    <w:p w:rsidR="00FE6DA6" w:rsidRDefault="00FE6DA6" w:rsidP="00FE6DA6">
      <w:pPr>
        <w:pStyle w:val="ListeParagraf"/>
        <w:tabs>
          <w:tab w:val="left" w:pos="390"/>
        </w:tabs>
        <w:rPr>
          <w:sz w:val="24"/>
          <w:szCs w:val="24"/>
        </w:rPr>
      </w:pPr>
    </w:p>
    <w:p w:rsidR="00385ED3" w:rsidRDefault="00385ED3" w:rsidP="00385ED3">
      <w:pPr>
        <w:pStyle w:val="ListeParagraf"/>
        <w:tabs>
          <w:tab w:val="left" w:pos="390"/>
        </w:tabs>
        <w:rPr>
          <w:sz w:val="24"/>
          <w:szCs w:val="24"/>
        </w:rPr>
      </w:pPr>
      <w:r w:rsidRPr="00385ED3">
        <w:rPr>
          <w:sz w:val="24"/>
          <w:szCs w:val="24"/>
        </w:rPr>
        <w:t xml:space="preserve">Öğrencilere verilecek Erasmus hibesi miktarı ülkelere göre her yıl Ulusal Ajans tarafından belirlenmektedir. Ülkelere ve hareketlilik türüne göre hibe miktarları aşağıdaki gibidir. </w:t>
      </w:r>
      <w:r w:rsidR="007A4F28">
        <w:rPr>
          <w:sz w:val="24"/>
          <w:szCs w:val="24"/>
        </w:rPr>
        <w:t>Üniversitemize tahsis edilen hibe miktarının tüm seçilen öğrencilere yetmesi durumunda h</w:t>
      </w:r>
      <w:r w:rsidRPr="00385ED3">
        <w:rPr>
          <w:sz w:val="24"/>
          <w:szCs w:val="24"/>
        </w:rPr>
        <w:t>ibeler, ortak üniversitelerin akademik takvimlerinde yer alan kurs başlangıç ve son hafta bitiş tarihlerine, staj hareketliliği için kabul mektubunda yer alan ve hibe sözleşmesinde be</w:t>
      </w:r>
      <w:r>
        <w:rPr>
          <w:sz w:val="24"/>
          <w:szCs w:val="24"/>
        </w:rPr>
        <w:t>lirtilen tarihlere göre hesaplanmaktadır</w:t>
      </w:r>
      <w:r w:rsidRPr="00385ED3">
        <w:rPr>
          <w:sz w:val="24"/>
          <w:szCs w:val="24"/>
        </w:rPr>
        <w:t>.</w:t>
      </w:r>
    </w:p>
    <w:tbl>
      <w:tblPr>
        <w:tblStyle w:val="TabloKlavuzu"/>
        <w:tblW w:w="0" w:type="auto"/>
        <w:tblInd w:w="988" w:type="dxa"/>
        <w:tblLook w:val="04A0" w:firstRow="1" w:lastRow="0" w:firstColumn="1" w:lastColumn="0" w:noHBand="0" w:noVBand="1"/>
      </w:tblPr>
      <w:tblGrid>
        <w:gridCol w:w="1751"/>
        <w:gridCol w:w="1711"/>
        <w:gridCol w:w="1801"/>
      </w:tblGrid>
      <w:tr w:rsidR="00385ED3" w:rsidTr="00CF256D">
        <w:trPr>
          <w:trHeight w:val="391"/>
        </w:trPr>
        <w:tc>
          <w:tcPr>
            <w:tcW w:w="1751" w:type="dxa"/>
          </w:tcPr>
          <w:p w:rsidR="00385ED3" w:rsidRDefault="00385ED3" w:rsidP="00CF256D">
            <w:pPr>
              <w:jc w:val="both"/>
              <w:rPr>
                <w:lang w:val="en-GB"/>
              </w:rPr>
            </w:pPr>
          </w:p>
        </w:tc>
        <w:tc>
          <w:tcPr>
            <w:tcW w:w="1711" w:type="dxa"/>
          </w:tcPr>
          <w:p w:rsidR="00385ED3" w:rsidRDefault="00385ED3" w:rsidP="00CF256D">
            <w:pPr>
              <w:pStyle w:val="ListeParagraf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Öğrenim</w:t>
            </w:r>
            <w:r>
              <w:rPr>
                <w:lang w:val="en-GB"/>
              </w:rPr>
              <w:br/>
              <w:t xml:space="preserve"> (Aylık)</w:t>
            </w:r>
          </w:p>
        </w:tc>
        <w:tc>
          <w:tcPr>
            <w:tcW w:w="1801" w:type="dxa"/>
          </w:tcPr>
          <w:p w:rsidR="00385ED3" w:rsidRDefault="00385ED3" w:rsidP="00CF256D">
            <w:pPr>
              <w:pStyle w:val="ListeParagraf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Staj</w:t>
            </w:r>
            <w:r>
              <w:rPr>
                <w:lang w:val="en-GB"/>
              </w:rPr>
              <w:br/>
              <w:t>(Aylık)</w:t>
            </w:r>
          </w:p>
        </w:tc>
      </w:tr>
      <w:tr w:rsidR="00385ED3" w:rsidTr="00CF256D">
        <w:trPr>
          <w:trHeight w:val="391"/>
        </w:trPr>
        <w:tc>
          <w:tcPr>
            <w:tcW w:w="1751" w:type="dxa"/>
          </w:tcPr>
          <w:p w:rsidR="00385ED3" w:rsidRPr="002D4B7F" w:rsidRDefault="002D4B7F" w:rsidP="002D4B7F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</w:t>
            </w:r>
            <w:r w:rsidRPr="002D4B7F">
              <w:rPr>
                <w:sz w:val="20"/>
                <w:szCs w:val="20"/>
                <w:lang w:val="en-GB"/>
              </w:rPr>
              <w:t xml:space="preserve">Ve </w:t>
            </w:r>
            <w:r w:rsidR="00385ED3" w:rsidRPr="002D4B7F">
              <w:rPr>
                <w:sz w:val="20"/>
                <w:szCs w:val="20"/>
                <w:lang w:val="en-GB"/>
              </w:rPr>
              <w:t>2. Grup Ülkeler</w:t>
            </w:r>
          </w:p>
        </w:tc>
        <w:tc>
          <w:tcPr>
            <w:tcW w:w="1711" w:type="dxa"/>
          </w:tcPr>
          <w:p w:rsidR="00385ED3" w:rsidRDefault="00385ED3" w:rsidP="00CF256D">
            <w:pPr>
              <w:pStyle w:val="ListeParagraf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500 €</w:t>
            </w:r>
          </w:p>
        </w:tc>
        <w:tc>
          <w:tcPr>
            <w:tcW w:w="1801" w:type="dxa"/>
          </w:tcPr>
          <w:p w:rsidR="00385ED3" w:rsidRDefault="00385ED3" w:rsidP="002D4B7F">
            <w:pPr>
              <w:pStyle w:val="ListeParagraf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600 €</w:t>
            </w:r>
          </w:p>
        </w:tc>
      </w:tr>
      <w:tr w:rsidR="00385ED3" w:rsidTr="00CF256D">
        <w:trPr>
          <w:trHeight w:val="458"/>
        </w:trPr>
        <w:tc>
          <w:tcPr>
            <w:tcW w:w="1751" w:type="dxa"/>
          </w:tcPr>
          <w:p w:rsidR="00385ED3" w:rsidRPr="00D22BAB" w:rsidRDefault="00385ED3" w:rsidP="002D4B7F">
            <w:pPr>
              <w:pStyle w:val="ListeParagraf"/>
              <w:ind w:left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3. Grup Ülkeler </w:t>
            </w:r>
          </w:p>
        </w:tc>
        <w:tc>
          <w:tcPr>
            <w:tcW w:w="1711" w:type="dxa"/>
          </w:tcPr>
          <w:p w:rsidR="00385ED3" w:rsidRDefault="00385ED3" w:rsidP="00CF256D">
            <w:pPr>
              <w:pStyle w:val="ListeParagraf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300 €</w:t>
            </w:r>
          </w:p>
        </w:tc>
        <w:tc>
          <w:tcPr>
            <w:tcW w:w="1801" w:type="dxa"/>
          </w:tcPr>
          <w:p w:rsidR="00385ED3" w:rsidRDefault="00385ED3" w:rsidP="00CF256D">
            <w:pPr>
              <w:pStyle w:val="ListeParagraf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400 €</w:t>
            </w:r>
          </w:p>
        </w:tc>
      </w:tr>
    </w:tbl>
    <w:p w:rsidR="00385ED3" w:rsidRPr="00385ED3" w:rsidRDefault="00385ED3" w:rsidP="00385ED3">
      <w:pPr>
        <w:tabs>
          <w:tab w:val="left" w:pos="390"/>
        </w:tabs>
        <w:rPr>
          <w:sz w:val="24"/>
          <w:szCs w:val="24"/>
        </w:rPr>
      </w:pPr>
    </w:p>
    <w:p w:rsidR="00385ED3" w:rsidRPr="00385ED3" w:rsidRDefault="00385ED3" w:rsidP="00385ED3">
      <w:pPr>
        <w:pStyle w:val="ListeParagraf"/>
        <w:tabs>
          <w:tab w:val="left" w:pos="390"/>
        </w:tabs>
        <w:rPr>
          <w:sz w:val="24"/>
          <w:szCs w:val="24"/>
        </w:rPr>
      </w:pPr>
    </w:p>
    <w:p w:rsidR="000F402E" w:rsidRDefault="000F402E" w:rsidP="002D4B7F">
      <w:pPr>
        <w:pStyle w:val="ListeParagraf"/>
        <w:numPr>
          <w:ilvl w:val="0"/>
          <w:numId w:val="2"/>
        </w:numPr>
        <w:tabs>
          <w:tab w:val="left" w:pos="390"/>
        </w:tabs>
        <w:rPr>
          <w:sz w:val="24"/>
          <w:szCs w:val="24"/>
        </w:rPr>
      </w:pPr>
      <w:r>
        <w:rPr>
          <w:sz w:val="24"/>
          <w:szCs w:val="24"/>
        </w:rPr>
        <w:t xml:space="preserve"> Öğrenciler hibesiz olarak da Erasmusa katılabilir mi?</w:t>
      </w:r>
    </w:p>
    <w:p w:rsidR="00385ED3" w:rsidRDefault="00385ED3" w:rsidP="00385ED3">
      <w:pPr>
        <w:pStyle w:val="ListeParagraf"/>
        <w:tabs>
          <w:tab w:val="left" w:pos="390"/>
        </w:tabs>
        <w:rPr>
          <w:sz w:val="24"/>
          <w:szCs w:val="24"/>
        </w:rPr>
      </w:pPr>
    </w:p>
    <w:p w:rsidR="00385ED3" w:rsidRDefault="00385ED3" w:rsidP="00385ED3">
      <w:pPr>
        <w:pStyle w:val="ListeParagraf"/>
        <w:tabs>
          <w:tab w:val="left" w:pos="390"/>
        </w:tabs>
        <w:rPr>
          <w:sz w:val="24"/>
          <w:szCs w:val="24"/>
        </w:rPr>
      </w:pPr>
      <w:r w:rsidRPr="00385ED3">
        <w:rPr>
          <w:sz w:val="24"/>
          <w:szCs w:val="24"/>
        </w:rPr>
        <w:t>Öğrenciler Erasmus Değişimine hibe olmadan katılabilirler. Öğrenci, başvurmak için minimum şartlara sahip olmalıdır. Hibe alan öğrenciler olarak süreçleri takip etmeli ve değerlendirme sürecine katılmalıdırlar. Tek fark, hibe ödemesi yapılmamasıdır.</w:t>
      </w:r>
    </w:p>
    <w:p w:rsidR="00FE6DA6" w:rsidRDefault="00FE6DA6" w:rsidP="00385ED3">
      <w:pPr>
        <w:pStyle w:val="ListeParagraf"/>
        <w:tabs>
          <w:tab w:val="left" w:pos="390"/>
        </w:tabs>
        <w:rPr>
          <w:sz w:val="24"/>
          <w:szCs w:val="24"/>
        </w:rPr>
      </w:pPr>
    </w:p>
    <w:p w:rsidR="00385ED3" w:rsidRDefault="00385ED3" w:rsidP="002D4B7F">
      <w:pPr>
        <w:pStyle w:val="ListeParagraf"/>
        <w:numPr>
          <w:ilvl w:val="0"/>
          <w:numId w:val="2"/>
        </w:numPr>
        <w:rPr>
          <w:lang w:val="en-GB"/>
        </w:rPr>
      </w:pPr>
      <w:r>
        <w:rPr>
          <w:lang w:val="en-GB"/>
        </w:rPr>
        <w:t>Öğrenciler hibel</w:t>
      </w:r>
      <w:r w:rsidR="00FE6DA6">
        <w:rPr>
          <w:lang w:val="en-GB"/>
        </w:rPr>
        <w:t>erini ne zaman ve nasıl alırlar</w:t>
      </w:r>
      <w:r>
        <w:rPr>
          <w:lang w:val="en-GB"/>
        </w:rPr>
        <w:t>?</w:t>
      </w:r>
    </w:p>
    <w:p w:rsidR="00385ED3" w:rsidRDefault="00385ED3" w:rsidP="00385ED3">
      <w:pPr>
        <w:pStyle w:val="ListeParagraf"/>
        <w:rPr>
          <w:lang w:val="en-GB"/>
        </w:rPr>
      </w:pPr>
    </w:p>
    <w:p w:rsidR="00FE6C56" w:rsidRPr="00987C9F" w:rsidRDefault="00987C9F" w:rsidP="00FE6C56">
      <w:pPr>
        <w:ind w:left="360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Seçim sonrası resmi sonuçların açıklanması ile öğrenciler </w:t>
      </w:r>
      <w:r w:rsidR="007C3445">
        <w:rPr>
          <w:sz w:val="24"/>
          <w:szCs w:val="24"/>
        </w:rPr>
        <w:t xml:space="preserve">‘Erasmus Aday Öğrenci’ statüsünde olmaktadır. Aday öğrenciler, </w:t>
      </w:r>
      <w:r>
        <w:rPr>
          <w:sz w:val="24"/>
          <w:szCs w:val="24"/>
        </w:rPr>
        <w:t xml:space="preserve">belgelerini Uluslararası Ofise teslim etmelidir. Öğrenci ile hareketlilik tarihlerini ve hibe miktarını gösteren hibe sözleşmesi imzalanmaktadır. Staj hareketliliği için 3 aylık, öğrenim hareketliliği için ilk aşamada 3 aylık ödeme yapılmaktadır. Ödemeler, öğrencinin Akbank Euro hesabına </w:t>
      </w:r>
      <w:r w:rsidR="00636964">
        <w:rPr>
          <w:sz w:val="24"/>
          <w:szCs w:val="24"/>
        </w:rPr>
        <w:t>yapılmaktadır</w:t>
      </w:r>
      <w:r>
        <w:rPr>
          <w:sz w:val="24"/>
          <w:szCs w:val="24"/>
        </w:rPr>
        <w:t xml:space="preserve">.  </w:t>
      </w:r>
      <w:bookmarkEnd w:id="0"/>
    </w:p>
    <w:sectPr w:rsidR="00FE6C56" w:rsidRPr="00987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A69CF"/>
    <w:multiLevelType w:val="hybridMultilevel"/>
    <w:tmpl w:val="DC14910E"/>
    <w:lvl w:ilvl="0" w:tplc="3CB4365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5" w:hanging="360"/>
      </w:pPr>
    </w:lvl>
    <w:lvl w:ilvl="2" w:tplc="041F001B" w:tentative="1">
      <w:start w:val="1"/>
      <w:numFmt w:val="lowerRoman"/>
      <w:lvlText w:val="%3."/>
      <w:lvlJc w:val="right"/>
      <w:pPr>
        <w:ind w:left="2565" w:hanging="180"/>
      </w:pPr>
    </w:lvl>
    <w:lvl w:ilvl="3" w:tplc="041F000F" w:tentative="1">
      <w:start w:val="1"/>
      <w:numFmt w:val="decimal"/>
      <w:lvlText w:val="%4."/>
      <w:lvlJc w:val="left"/>
      <w:pPr>
        <w:ind w:left="3285" w:hanging="360"/>
      </w:pPr>
    </w:lvl>
    <w:lvl w:ilvl="4" w:tplc="041F0019" w:tentative="1">
      <w:start w:val="1"/>
      <w:numFmt w:val="lowerLetter"/>
      <w:lvlText w:val="%5."/>
      <w:lvlJc w:val="left"/>
      <w:pPr>
        <w:ind w:left="4005" w:hanging="360"/>
      </w:pPr>
    </w:lvl>
    <w:lvl w:ilvl="5" w:tplc="041F001B" w:tentative="1">
      <w:start w:val="1"/>
      <w:numFmt w:val="lowerRoman"/>
      <w:lvlText w:val="%6."/>
      <w:lvlJc w:val="right"/>
      <w:pPr>
        <w:ind w:left="4725" w:hanging="180"/>
      </w:pPr>
    </w:lvl>
    <w:lvl w:ilvl="6" w:tplc="041F000F" w:tentative="1">
      <w:start w:val="1"/>
      <w:numFmt w:val="decimal"/>
      <w:lvlText w:val="%7."/>
      <w:lvlJc w:val="left"/>
      <w:pPr>
        <w:ind w:left="5445" w:hanging="360"/>
      </w:pPr>
    </w:lvl>
    <w:lvl w:ilvl="7" w:tplc="041F0019" w:tentative="1">
      <w:start w:val="1"/>
      <w:numFmt w:val="lowerLetter"/>
      <w:lvlText w:val="%8."/>
      <w:lvlJc w:val="left"/>
      <w:pPr>
        <w:ind w:left="6165" w:hanging="360"/>
      </w:pPr>
    </w:lvl>
    <w:lvl w:ilvl="8" w:tplc="041F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8AE1246"/>
    <w:multiLevelType w:val="hybridMultilevel"/>
    <w:tmpl w:val="333E3716"/>
    <w:lvl w:ilvl="0" w:tplc="C1BE0F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55F18"/>
    <w:multiLevelType w:val="hybridMultilevel"/>
    <w:tmpl w:val="DC2C1A5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376011"/>
    <w:multiLevelType w:val="hybridMultilevel"/>
    <w:tmpl w:val="A57299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91216"/>
    <w:multiLevelType w:val="hybridMultilevel"/>
    <w:tmpl w:val="7474EE8A"/>
    <w:lvl w:ilvl="0" w:tplc="A538EFE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5" w:hanging="360"/>
      </w:pPr>
    </w:lvl>
    <w:lvl w:ilvl="2" w:tplc="041F001B" w:tentative="1">
      <w:start w:val="1"/>
      <w:numFmt w:val="lowerRoman"/>
      <w:lvlText w:val="%3."/>
      <w:lvlJc w:val="right"/>
      <w:pPr>
        <w:ind w:left="2565" w:hanging="180"/>
      </w:pPr>
    </w:lvl>
    <w:lvl w:ilvl="3" w:tplc="041F000F" w:tentative="1">
      <w:start w:val="1"/>
      <w:numFmt w:val="decimal"/>
      <w:lvlText w:val="%4."/>
      <w:lvlJc w:val="left"/>
      <w:pPr>
        <w:ind w:left="3285" w:hanging="360"/>
      </w:pPr>
    </w:lvl>
    <w:lvl w:ilvl="4" w:tplc="041F0019" w:tentative="1">
      <w:start w:val="1"/>
      <w:numFmt w:val="lowerLetter"/>
      <w:lvlText w:val="%5."/>
      <w:lvlJc w:val="left"/>
      <w:pPr>
        <w:ind w:left="4005" w:hanging="360"/>
      </w:pPr>
    </w:lvl>
    <w:lvl w:ilvl="5" w:tplc="041F001B" w:tentative="1">
      <w:start w:val="1"/>
      <w:numFmt w:val="lowerRoman"/>
      <w:lvlText w:val="%6."/>
      <w:lvlJc w:val="right"/>
      <w:pPr>
        <w:ind w:left="4725" w:hanging="180"/>
      </w:pPr>
    </w:lvl>
    <w:lvl w:ilvl="6" w:tplc="041F000F" w:tentative="1">
      <w:start w:val="1"/>
      <w:numFmt w:val="decimal"/>
      <w:lvlText w:val="%7."/>
      <w:lvlJc w:val="left"/>
      <w:pPr>
        <w:ind w:left="5445" w:hanging="360"/>
      </w:pPr>
    </w:lvl>
    <w:lvl w:ilvl="7" w:tplc="041F0019" w:tentative="1">
      <w:start w:val="1"/>
      <w:numFmt w:val="lowerLetter"/>
      <w:lvlText w:val="%8."/>
      <w:lvlJc w:val="left"/>
      <w:pPr>
        <w:ind w:left="6165" w:hanging="360"/>
      </w:pPr>
    </w:lvl>
    <w:lvl w:ilvl="8" w:tplc="041F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CC9632C"/>
    <w:multiLevelType w:val="hybridMultilevel"/>
    <w:tmpl w:val="26F880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15508"/>
    <w:multiLevelType w:val="hybridMultilevel"/>
    <w:tmpl w:val="5418AF52"/>
    <w:lvl w:ilvl="0" w:tplc="826AB7D4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33E0966"/>
    <w:multiLevelType w:val="hybridMultilevel"/>
    <w:tmpl w:val="9CB449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32CF5"/>
    <w:multiLevelType w:val="hybridMultilevel"/>
    <w:tmpl w:val="1A0CC6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A67E3"/>
    <w:multiLevelType w:val="hybridMultilevel"/>
    <w:tmpl w:val="96E42A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3656C"/>
    <w:multiLevelType w:val="hybridMultilevel"/>
    <w:tmpl w:val="EC9CE328"/>
    <w:lvl w:ilvl="0" w:tplc="C9E61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565274"/>
    <w:multiLevelType w:val="hybridMultilevel"/>
    <w:tmpl w:val="1FBE222A"/>
    <w:lvl w:ilvl="0" w:tplc="B8F2B36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5" w:hanging="360"/>
      </w:pPr>
    </w:lvl>
    <w:lvl w:ilvl="2" w:tplc="041F001B" w:tentative="1">
      <w:start w:val="1"/>
      <w:numFmt w:val="lowerRoman"/>
      <w:lvlText w:val="%3."/>
      <w:lvlJc w:val="right"/>
      <w:pPr>
        <w:ind w:left="2565" w:hanging="180"/>
      </w:pPr>
    </w:lvl>
    <w:lvl w:ilvl="3" w:tplc="041F000F" w:tentative="1">
      <w:start w:val="1"/>
      <w:numFmt w:val="decimal"/>
      <w:lvlText w:val="%4."/>
      <w:lvlJc w:val="left"/>
      <w:pPr>
        <w:ind w:left="3285" w:hanging="360"/>
      </w:pPr>
    </w:lvl>
    <w:lvl w:ilvl="4" w:tplc="041F0019" w:tentative="1">
      <w:start w:val="1"/>
      <w:numFmt w:val="lowerLetter"/>
      <w:lvlText w:val="%5."/>
      <w:lvlJc w:val="left"/>
      <w:pPr>
        <w:ind w:left="4005" w:hanging="360"/>
      </w:pPr>
    </w:lvl>
    <w:lvl w:ilvl="5" w:tplc="041F001B" w:tentative="1">
      <w:start w:val="1"/>
      <w:numFmt w:val="lowerRoman"/>
      <w:lvlText w:val="%6."/>
      <w:lvlJc w:val="right"/>
      <w:pPr>
        <w:ind w:left="4725" w:hanging="180"/>
      </w:pPr>
    </w:lvl>
    <w:lvl w:ilvl="6" w:tplc="041F000F" w:tentative="1">
      <w:start w:val="1"/>
      <w:numFmt w:val="decimal"/>
      <w:lvlText w:val="%7."/>
      <w:lvlJc w:val="left"/>
      <w:pPr>
        <w:ind w:left="5445" w:hanging="360"/>
      </w:pPr>
    </w:lvl>
    <w:lvl w:ilvl="7" w:tplc="041F0019" w:tentative="1">
      <w:start w:val="1"/>
      <w:numFmt w:val="lowerLetter"/>
      <w:lvlText w:val="%8."/>
      <w:lvlJc w:val="left"/>
      <w:pPr>
        <w:ind w:left="6165" w:hanging="360"/>
      </w:pPr>
    </w:lvl>
    <w:lvl w:ilvl="8" w:tplc="041F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10"/>
  </w:num>
  <w:num w:numId="8">
    <w:abstractNumId w:val="7"/>
  </w:num>
  <w:num w:numId="9">
    <w:abstractNumId w:val="3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2D"/>
    <w:rsid w:val="000A7615"/>
    <w:rsid w:val="000F402E"/>
    <w:rsid w:val="0016545F"/>
    <w:rsid w:val="0017663E"/>
    <w:rsid w:val="001D222D"/>
    <w:rsid w:val="00296DF2"/>
    <w:rsid w:val="002D4B7F"/>
    <w:rsid w:val="003178F2"/>
    <w:rsid w:val="00385ED3"/>
    <w:rsid w:val="00636964"/>
    <w:rsid w:val="0066484B"/>
    <w:rsid w:val="00690151"/>
    <w:rsid w:val="00704428"/>
    <w:rsid w:val="007A4F28"/>
    <w:rsid w:val="007B43D0"/>
    <w:rsid w:val="007C3445"/>
    <w:rsid w:val="00834EBB"/>
    <w:rsid w:val="00871D78"/>
    <w:rsid w:val="009815B7"/>
    <w:rsid w:val="00987C9F"/>
    <w:rsid w:val="009B6E3F"/>
    <w:rsid w:val="00C61586"/>
    <w:rsid w:val="00CA0050"/>
    <w:rsid w:val="00DB7BAC"/>
    <w:rsid w:val="00E60EEA"/>
    <w:rsid w:val="00EA6849"/>
    <w:rsid w:val="00F27F40"/>
    <w:rsid w:val="00FE6C56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9D8E9-B0A9-4228-A2F5-24D0AEBC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4EB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6545F"/>
    <w:rPr>
      <w:color w:val="0000FF"/>
      <w:u w:val="single"/>
    </w:rPr>
  </w:style>
  <w:style w:type="table" w:styleId="TabloKlavuzu">
    <w:name w:val="Table Grid"/>
    <w:basedOn w:val="NormalTablo"/>
    <w:uiPriority w:val="39"/>
    <w:rsid w:val="000A7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7C34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sikun.edu.tr/international/announce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bility.isikun.edu.tr/KION.UI.Web.ExchangeProgram/Public/AgemblyList.aspx?pId=7317" TargetMode="External"/><Relationship Id="rId5" Type="http://schemas.openxmlformats.org/officeDocument/2006/relationships/hyperlink" Target="https://www.isikun.edu.tr/international/erasmus-and-exchange/outgoing-students/erasm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Betul SOZSAV ER</dc:creator>
  <cp:keywords/>
  <dc:description/>
  <cp:lastModifiedBy>Betul SOZSAV ER</cp:lastModifiedBy>
  <cp:revision>10</cp:revision>
  <dcterms:created xsi:type="dcterms:W3CDTF">2021-03-26T16:18:00Z</dcterms:created>
  <dcterms:modified xsi:type="dcterms:W3CDTF">2021-03-31T12:57:00Z</dcterms:modified>
</cp:coreProperties>
</file>