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CAB" w:rsidRPr="00B26394" w:rsidRDefault="006C5CAB" w:rsidP="00472076">
      <w:pPr>
        <w:rPr>
          <w:lang w:val="en-GB"/>
        </w:rPr>
      </w:pPr>
    </w:p>
    <w:p w:rsidR="006C5CAB" w:rsidRDefault="006C5CAB" w:rsidP="00D90AB3">
      <w:pPr>
        <w:pStyle w:val="ListeParagraf"/>
        <w:numPr>
          <w:ilvl w:val="0"/>
          <w:numId w:val="2"/>
        </w:numPr>
        <w:jc w:val="both"/>
        <w:rPr>
          <w:lang w:val="en-GB"/>
        </w:rPr>
      </w:pPr>
      <w:r w:rsidRPr="00B26394">
        <w:rPr>
          <w:lang w:val="en-GB"/>
        </w:rPr>
        <w:t xml:space="preserve">What’s Erasmus Program? </w:t>
      </w:r>
    </w:p>
    <w:p w:rsidR="00E257B6" w:rsidRDefault="00E257B6" w:rsidP="00D90AB3">
      <w:pPr>
        <w:pStyle w:val="ListeParagraf"/>
        <w:ind w:left="785"/>
        <w:jc w:val="both"/>
        <w:rPr>
          <w:lang w:val="en-GB"/>
        </w:rPr>
      </w:pPr>
    </w:p>
    <w:p w:rsidR="00DA55CD" w:rsidRPr="00DA55CD" w:rsidRDefault="00DA55CD" w:rsidP="00D90AB3">
      <w:pPr>
        <w:pStyle w:val="ListeParagraf"/>
        <w:ind w:left="785"/>
        <w:jc w:val="both"/>
        <w:rPr>
          <w:lang w:val="en-GB"/>
        </w:rPr>
      </w:pPr>
      <w:r w:rsidRPr="00DA55CD">
        <w:rPr>
          <w:lang w:val="en-GB"/>
        </w:rPr>
        <w:t>Erasmus is</w:t>
      </w:r>
      <w:r>
        <w:rPr>
          <w:lang w:val="en-GB"/>
        </w:rPr>
        <w:t xml:space="preserve"> a student exchange program conducted by the European Union </w:t>
      </w:r>
      <w:r w:rsidRPr="00DA55CD">
        <w:rPr>
          <w:lang w:val="en-GB"/>
        </w:rPr>
        <w:t>that encourages cooperation with higher education institutions in Europe.</w:t>
      </w:r>
      <w:r w:rsidR="00CC005C">
        <w:rPr>
          <w:lang w:val="en-GB"/>
        </w:rPr>
        <w:t xml:space="preserve"> It</w:t>
      </w:r>
      <w:r w:rsidRPr="00DA55CD">
        <w:rPr>
          <w:lang w:val="en-GB"/>
        </w:rPr>
        <w:t xml:space="preserve"> provides university students with an internship and study experience in another European country.</w:t>
      </w:r>
    </w:p>
    <w:p w:rsidR="00DA55CD" w:rsidRDefault="00DA55CD" w:rsidP="00D90AB3">
      <w:pPr>
        <w:pStyle w:val="ListeParagraf"/>
        <w:ind w:left="785"/>
        <w:jc w:val="both"/>
        <w:rPr>
          <w:lang w:val="en-GB"/>
        </w:rPr>
      </w:pPr>
      <w:r w:rsidRPr="00CC005C">
        <w:rPr>
          <w:lang w:val="en-GB"/>
        </w:rPr>
        <w:t>Students meet different cultures, experience abroad and discover learning opportunities thanks to the exchange between countries.</w:t>
      </w:r>
    </w:p>
    <w:p w:rsidR="00DA55CD" w:rsidRDefault="00DA55CD" w:rsidP="00D90AB3">
      <w:pPr>
        <w:pStyle w:val="ListeParagraf"/>
        <w:ind w:left="785"/>
        <w:jc w:val="both"/>
        <w:rPr>
          <w:lang w:val="en-GB"/>
        </w:rPr>
      </w:pPr>
    </w:p>
    <w:p w:rsidR="00E257B6" w:rsidRDefault="00B26394" w:rsidP="00D90AB3">
      <w:pPr>
        <w:pStyle w:val="ListeParagraf"/>
        <w:numPr>
          <w:ilvl w:val="0"/>
          <w:numId w:val="2"/>
        </w:numPr>
        <w:jc w:val="both"/>
        <w:rPr>
          <w:lang w:val="en-GB"/>
        </w:rPr>
      </w:pPr>
      <w:r w:rsidRPr="00B26394">
        <w:rPr>
          <w:lang w:val="en-GB"/>
        </w:rPr>
        <w:t>Who can apply for Erasmus Program?</w:t>
      </w:r>
    </w:p>
    <w:p w:rsidR="00E257B6" w:rsidRDefault="00E257B6" w:rsidP="00D90AB3">
      <w:pPr>
        <w:pStyle w:val="ListeParagraf"/>
        <w:ind w:left="785"/>
        <w:jc w:val="both"/>
        <w:rPr>
          <w:lang w:val="en-GB"/>
        </w:rPr>
      </w:pPr>
    </w:p>
    <w:p w:rsidR="00E257B6" w:rsidRDefault="00E257B6" w:rsidP="00D90AB3">
      <w:pPr>
        <w:pStyle w:val="ListeParagraf"/>
        <w:ind w:left="785"/>
        <w:jc w:val="both"/>
        <w:rPr>
          <w:lang w:val="en-GB"/>
        </w:rPr>
      </w:pPr>
      <w:r w:rsidRPr="00E257B6">
        <w:rPr>
          <w:lang w:val="en-GB"/>
        </w:rPr>
        <w:t>Associate, Bachelor, Master and</w:t>
      </w:r>
      <w:r w:rsidR="00CE7B00">
        <w:rPr>
          <w:lang w:val="en-GB"/>
        </w:rPr>
        <w:t xml:space="preserve"> Doctorate Program students can</w:t>
      </w:r>
      <w:r>
        <w:rPr>
          <w:lang w:val="en-GB"/>
        </w:rPr>
        <w:t xml:space="preserve"> apply</w:t>
      </w:r>
      <w:r w:rsidRPr="00E257B6">
        <w:rPr>
          <w:lang w:val="en-GB"/>
        </w:rPr>
        <w:t xml:space="preserve"> the Erasmus + program.</w:t>
      </w:r>
      <w:r w:rsidR="00CE7B00">
        <w:rPr>
          <w:lang w:val="en-GB"/>
        </w:rPr>
        <w:t xml:space="preserve"> </w:t>
      </w:r>
      <w:r>
        <w:rPr>
          <w:lang w:val="en-GB"/>
        </w:rPr>
        <w:t>General Conditions for application are below</w:t>
      </w:r>
    </w:p>
    <w:p w:rsidR="00E257B6" w:rsidRPr="00E257B6" w:rsidRDefault="00E257B6" w:rsidP="00D90AB3">
      <w:pPr>
        <w:pStyle w:val="ListeParagraf"/>
        <w:numPr>
          <w:ilvl w:val="0"/>
          <w:numId w:val="4"/>
        </w:numPr>
        <w:jc w:val="both"/>
        <w:rPr>
          <w:lang w:val="en-GB"/>
        </w:rPr>
      </w:pPr>
      <w:r>
        <w:rPr>
          <w:lang w:val="en-GB"/>
        </w:rPr>
        <w:t>B</w:t>
      </w:r>
      <w:r w:rsidRPr="00E257B6">
        <w:rPr>
          <w:lang w:val="en-GB"/>
        </w:rPr>
        <w:t>eing a full time student</w:t>
      </w:r>
    </w:p>
    <w:p w:rsidR="00E257B6" w:rsidRPr="00E257B6" w:rsidRDefault="00E257B6" w:rsidP="00D90AB3">
      <w:pPr>
        <w:pStyle w:val="ListeParagraf"/>
        <w:numPr>
          <w:ilvl w:val="0"/>
          <w:numId w:val="4"/>
        </w:numPr>
        <w:jc w:val="both"/>
        <w:rPr>
          <w:lang w:val="en-GB"/>
        </w:rPr>
      </w:pPr>
      <w:r w:rsidRPr="00E257B6">
        <w:rPr>
          <w:lang w:val="en-GB"/>
        </w:rPr>
        <w:t>Grade Point Average: 2.20 (Associate degree, Undergraduate) 2.50 (Postgraduate)</w:t>
      </w:r>
    </w:p>
    <w:p w:rsidR="00E257B6" w:rsidRPr="00E257B6" w:rsidRDefault="00E257B6" w:rsidP="00D90AB3">
      <w:pPr>
        <w:pStyle w:val="ListeParagraf"/>
        <w:numPr>
          <w:ilvl w:val="0"/>
          <w:numId w:val="4"/>
        </w:numPr>
        <w:jc w:val="both"/>
        <w:rPr>
          <w:lang w:val="en-GB"/>
        </w:rPr>
      </w:pPr>
      <w:r w:rsidRPr="00E257B6">
        <w:rPr>
          <w:lang w:val="en-GB"/>
        </w:rPr>
        <w:t>Sufficie</w:t>
      </w:r>
      <w:r w:rsidR="00CE7B00">
        <w:rPr>
          <w:lang w:val="en-GB"/>
        </w:rPr>
        <w:t xml:space="preserve">nt number of ECTS load </w:t>
      </w:r>
      <w:r w:rsidRPr="00E257B6">
        <w:rPr>
          <w:lang w:val="en-GB"/>
        </w:rPr>
        <w:t xml:space="preserve"> (30 ECTS for one semester)</w:t>
      </w:r>
    </w:p>
    <w:p w:rsidR="00E257B6" w:rsidRPr="00E257B6" w:rsidRDefault="00E257B6" w:rsidP="00D90AB3">
      <w:pPr>
        <w:pStyle w:val="ListeParagraf"/>
        <w:numPr>
          <w:ilvl w:val="0"/>
          <w:numId w:val="4"/>
        </w:numPr>
        <w:jc w:val="both"/>
        <w:rPr>
          <w:lang w:val="en-GB"/>
        </w:rPr>
      </w:pPr>
      <w:r w:rsidRPr="00E257B6">
        <w:rPr>
          <w:lang w:val="en-GB"/>
        </w:rPr>
        <w:t xml:space="preserve">If the Erasmus activity has been </w:t>
      </w:r>
      <w:r w:rsidR="00CE7B00">
        <w:rPr>
          <w:lang w:val="en-GB"/>
        </w:rPr>
        <w:t>participated</w:t>
      </w:r>
      <w:r w:rsidRPr="00E257B6">
        <w:rPr>
          <w:lang w:val="en-GB"/>
        </w:rPr>
        <w:t xml:space="preserve"> before, the total duration should not exceed 12 months.</w:t>
      </w:r>
    </w:p>
    <w:p w:rsidR="00E257B6" w:rsidRPr="00E257B6" w:rsidRDefault="00E257B6" w:rsidP="00E257B6">
      <w:pPr>
        <w:pStyle w:val="ListeParagraf"/>
        <w:ind w:left="785"/>
        <w:rPr>
          <w:lang w:val="en-GB"/>
        </w:rPr>
      </w:pPr>
    </w:p>
    <w:p w:rsidR="007417A7" w:rsidRDefault="003F2000" w:rsidP="007417A7">
      <w:pPr>
        <w:pStyle w:val="ListeParagraf"/>
        <w:numPr>
          <w:ilvl w:val="0"/>
          <w:numId w:val="2"/>
        </w:numPr>
        <w:rPr>
          <w:lang w:val="en-GB"/>
        </w:rPr>
      </w:pPr>
      <w:r>
        <w:rPr>
          <w:lang w:val="en-GB"/>
        </w:rPr>
        <w:t>How can students apply for Erasmus Program and what are the criteria to be selected?</w:t>
      </w:r>
    </w:p>
    <w:p w:rsidR="007417A7" w:rsidRDefault="007417A7" w:rsidP="007417A7">
      <w:pPr>
        <w:pStyle w:val="ListeParagraf"/>
        <w:ind w:left="785"/>
        <w:rPr>
          <w:lang w:val="en-GB"/>
        </w:rPr>
      </w:pPr>
    </w:p>
    <w:p w:rsidR="00CE7B00" w:rsidRDefault="00CE7B00" w:rsidP="00D90AB3">
      <w:pPr>
        <w:pStyle w:val="ListeParagraf"/>
        <w:ind w:left="785"/>
        <w:jc w:val="both"/>
        <w:rPr>
          <w:lang w:val="en-GB"/>
        </w:rPr>
      </w:pPr>
      <w:r w:rsidRPr="007417A7">
        <w:rPr>
          <w:lang w:val="en-GB"/>
        </w:rPr>
        <w:t xml:space="preserve">Students can follow the application calls announced on the </w:t>
      </w:r>
      <w:r w:rsidR="00D1433C" w:rsidRPr="007417A7">
        <w:rPr>
          <w:lang w:val="en-GB"/>
        </w:rPr>
        <w:t>Website</w:t>
      </w:r>
      <w:r w:rsidRPr="007417A7">
        <w:rPr>
          <w:lang w:val="en-GB"/>
        </w:rPr>
        <w:t xml:space="preserve"> of </w:t>
      </w:r>
      <w:r w:rsidR="007417A7" w:rsidRPr="007417A7">
        <w:rPr>
          <w:lang w:val="en-GB"/>
        </w:rPr>
        <w:t>Işık University</w:t>
      </w:r>
      <w:r w:rsidRPr="007417A7">
        <w:rPr>
          <w:lang w:val="en-GB"/>
        </w:rPr>
        <w:t xml:space="preserve"> </w:t>
      </w:r>
      <w:r w:rsidR="007417A7" w:rsidRPr="007417A7">
        <w:rPr>
          <w:lang w:val="en-GB"/>
        </w:rPr>
        <w:t xml:space="preserve">and complete the application steps with the documents requested. </w:t>
      </w:r>
      <w:r w:rsidR="00B10718" w:rsidRPr="00B10718">
        <w:rPr>
          <w:rStyle w:val="Kpr"/>
          <w:lang w:val="en-GB"/>
        </w:rPr>
        <w:t>https://www.isikun.edu.tr/international/erasmus-and-exchange/outgoing-students/erasmus</w:t>
      </w:r>
      <w:r w:rsidR="007417A7">
        <w:rPr>
          <w:lang w:val="en-GB"/>
        </w:rPr>
        <w:t xml:space="preserve"> </w:t>
      </w:r>
      <w:bookmarkStart w:id="0" w:name="_GoBack"/>
      <w:bookmarkEnd w:id="0"/>
    </w:p>
    <w:p w:rsidR="007417A7" w:rsidRDefault="007417A7" w:rsidP="00D90AB3">
      <w:pPr>
        <w:pStyle w:val="ListeParagraf"/>
        <w:ind w:left="785"/>
        <w:jc w:val="both"/>
      </w:pPr>
      <w:r>
        <w:t>Student elections are decided by the Erasmus Selection Committe according to the selection criteria specified in the Erasmus Application Manual by the National Agency. Erasmus student selection will be from the students who have the minimum conditions required, and according to the ranking of the scores from the highest point by taking into consideration the evaluation criteria and weighted scores announced by the National Agency.</w:t>
      </w:r>
    </w:p>
    <w:p w:rsidR="007417A7" w:rsidRPr="00CE7B00" w:rsidRDefault="007417A7" w:rsidP="00D90AB3">
      <w:pPr>
        <w:pStyle w:val="ListeParagraf"/>
        <w:ind w:left="785"/>
        <w:jc w:val="both"/>
        <w:rPr>
          <w:lang w:val="en-GB"/>
        </w:rPr>
      </w:pPr>
    </w:p>
    <w:p w:rsidR="006C4D76" w:rsidRPr="00B26394" w:rsidRDefault="006C4D76" w:rsidP="00D90AB3">
      <w:pPr>
        <w:pStyle w:val="ListeParagraf"/>
        <w:numPr>
          <w:ilvl w:val="0"/>
          <w:numId w:val="2"/>
        </w:numPr>
        <w:jc w:val="both"/>
        <w:rPr>
          <w:lang w:val="en-GB"/>
        </w:rPr>
      </w:pPr>
      <w:r>
        <w:rPr>
          <w:lang w:val="en-GB"/>
        </w:rPr>
        <w:t>Where</w:t>
      </w:r>
      <w:r w:rsidRPr="00B26394">
        <w:rPr>
          <w:lang w:val="en-GB"/>
        </w:rPr>
        <w:t xml:space="preserve"> can</w:t>
      </w:r>
      <w:r w:rsidR="00864809">
        <w:rPr>
          <w:lang w:val="en-GB"/>
        </w:rPr>
        <w:t xml:space="preserve"> students </w:t>
      </w:r>
      <w:r w:rsidRPr="00B26394">
        <w:rPr>
          <w:lang w:val="en-GB"/>
        </w:rPr>
        <w:t>go with Erasmus Program?</w:t>
      </w:r>
    </w:p>
    <w:p w:rsidR="006C4D76" w:rsidRPr="00B26394" w:rsidRDefault="006C4D76" w:rsidP="00D90AB3">
      <w:pPr>
        <w:pStyle w:val="ListeParagraf"/>
        <w:jc w:val="both"/>
        <w:rPr>
          <w:lang w:val="en-GB"/>
        </w:rPr>
      </w:pPr>
    </w:p>
    <w:p w:rsidR="006C4D76" w:rsidRDefault="002D4812" w:rsidP="00D90AB3">
      <w:pPr>
        <w:pStyle w:val="ListeParagraf"/>
        <w:jc w:val="both"/>
        <w:rPr>
          <w:lang w:val="en-GB"/>
        </w:rPr>
      </w:pPr>
      <w:r>
        <w:rPr>
          <w:lang w:val="en-GB"/>
        </w:rPr>
        <w:t xml:space="preserve">Students can participate in the following Program countries for study and traineeship </w:t>
      </w:r>
      <w:r w:rsidR="009D4BED">
        <w:rPr>
          <w:lang w:val="en-GB"/>
        </w:rPr>
        <w:t xml:space="preserve">mobility </w:t>
      </w:r>
      <w:r>
        <w:rPr>
          <w:lang w:val="en-GB"/>
        </w:rPr>
        <w:t xml:space="preserve">programs: </w:t>
      </w:r>
      <w:r w:rsidR="006C4D76">
        <w:rPr>
          <w:lang w:val="en-GB"/>
        </w:rPr>
        <w:t xml:space="preserve"> </w:t>
      </w:r>
      <w:r w:rsidR="006C4D76" w:rsidRPr="00B26394">
        <w:rPr>
          <w:lang w:val="en-GB"/>
        </w:rPr>
        <w:t xml:space="preserve"> </w:t>
      </w:r>
    </w:p>
    <w:tbl>
      <w:tblPr>
        <w:tblStyle w:val="TabloKlavuzu"/>
        <w:tblW w:w="8321" w:type="dxa"/>
        <w:tblInd w:w="785" w:type="dxa"/>
        <w:tblLook w:val="04A0" w:firstRow="1" w:lastRow="0" w:firstColumn="1" w:lastColumn="0" w:noHBand="0" w:noVBand="1"/>
      </w:tblPr>
      <w:tblGrid>
        <w:gridCol w:w="2484"/>
        <w:gridCol w:w="5837"/>
      </w:tblGrid>
      <w:tr w:rsidR="00D018A8" w:rsidTr="00D018A8">
        <w:trPr>
          <w:trHeight w:val="825"/>
        </w:trPr>
        <w:tc>
          <w:tcPr>
            <w:tcW w:w="2484" w:type="dxa"/>
          </w:tcPr>
          <w:p w:rsidR="00D018A8" w:rsidRDefault="00D018A8" w:rsidP="00D90AB3">
            <w:pPr>
              <w:jc w:val="both"/>
              <w:rPr>
                <w:b/>
                <w:lang w:val="en-GB"/>
              </w:rPr>
            </w:pPr>
          </w:p>
          <w:p w:rsidR="00D018A8" w:rsidRPr="006D127C" w:rsidRDefault="00D018A8" w:rsidP="00D90AB3">
            <w:pPr>
              <w:jc w:val="both"/>
              <w:rPr>
                <w:lang w:val="en-GB"/>
              </w:rPr>
            </w:pPr>
            <w:r w:rsidRPr="006D127C">
              <w:rPr>
                <w:lang w:val="en-GB"/>
              </w:rPr>
              <w:t>1. and 2. Group Program Countries</w:t>
            </w:r>
          </w:p>
        </w:tc>
        <w:tc>
          <w:tcPr>
            <w:tcW w:w="5837" w:type="dxa"/>
          </w:tcPr>
          <w:p w:rsidR="00D018A8" w:rsidRDefault="00D018A8" w:rsidP="00D90AB3">
            <w:pPr>
              <w:jc w:val="both"/>
              <w:rPr>
                <w:lang w:val="en-GB"/>
              </w:rPr>
            </w:pPr>
            <w:r w:rsidRPr="00D018A8">
              <w:rPr>
                <w:lang w:val="en-GB"/>
              </w:rPr>
              <w:t>UK, Denmark, Finland, Ireland, Sweden,Iceland, Liechtenstein, Luxembourg, Norway, Germany,</w:t>
            </w:r>
            <w:r>
              <w:rPr>
                <w:lang w:val="en-GB"/>
              </w:rPr>
              <w:t xml:space="preserve"> </w:t>
            </w:r>
            <w:r w:rsidRPr="00D018A8">
              <w:rPr>
                <w:lang w:val="en-GB"/>
              </w:rPr>
              <w:t>Austria, Belgium, France, Southern Cyprus, the Netherlands,</w:t>
            </w:r>
            <w:r>
              <w:rPr>
                <w:lang w:val="en-GB"/>
              </w:rPr>
              <w:t xml:space="preserve"> </w:t>
            </w:r>
            <w:r w:rsidRPr="00D018A8">
              <w:rPr>
                <w:lang w:val="en-GB"/>
              </w:rPr>
              <w:t>Spain, Italy, Malta, Portugal, Greece</w:t>
            </w:r>
          </w:p>
        </w:tc>
      </w:tr>
      <w:tr w:rsidR="00D018A8" w:rsidTr="00D018A8">
        <w:trPr>
          <w:trHeight w:val="1025"/>
        </w:trPr>
        <w:tc>
          <w:tcPr>
            <w:tcW w:w="2484" w:type="dxa"/>
          </w:tcPr>
          <w:p w:rsidR="00D018A8" w:rsidRDefault="00D018A8" w:rsidP="00D90AB3">
            <w:pPr>
              <w:pStyle w:val="ListeParagraf"/>
              <w:ind w:left="0"/>
              <w:jc w:val="both"/>
              <w:rPr>
                <w:lang w:val="en-GB"/>
              </w:rPr>
            </w:pPr>
          </w:p>
          <w:p w:rsidR="00D018A8" w:rsidRPr="006D127C" w:rsidRDefault="006D127C" w:rsidP="00D90AB3">
            <w:pPr>
              <w:jc w:val="both"/>
              <w:rPr>
                <w:lang w:val="en-GB"/>
              </w:rPr>
            </w:pPr>
            <w:r>
              <w:rPr>
                <w:lang w:val="en-GB"/>
              </w:rPr>
              <w:t>3</w:t>
            </w:r>
            <w:r w:rsidR="00D018A8" w:rsidRPr="006D127C">
              <w:rPr>
                <w:lang w:val="en-GB"/>
              </w:rPr>
              <w:t>rd Group Program Countries</w:t>
            </w:r>
          </w:p>
        </w:tc>
        <w:tc>
          <w:tcPr>
            <w:tcW w:w="5837" w:type="dxa"/>
          </w:tcPr>
          <w:p w:rsidR="00D018A8" w:rsidRDefault="00D018A8" w:rsidP="00D90AB3">
            <w:pPr>
              <w:pStyle w:val="ListeParagraf"/>
              <w:ind w:left="0"/>
              <w:jc w:val="both"/>
              <w:rPr>
                <w:lang w:val="en-GB"/>
              </w:rPr>
            </w:pPr>
          </w:p>
          <w:p w:rsidR="00D018A8" w:rsidRDefault="00D018A8" w:rsidP="00D90AB3">
            <w:pPr>
              <w:pStyle w:val="ListeParagraf"/>
              <w:ind w:left="0"/>
              <w:jc w:val="both"/>
              <w:rPr>
                <w:lang w:val="en-GB"/>
              </w:rPr>
            </w:pPr>
            <w:r w:rsidRPr="00D018A8">
              <w:rPr>
                <w:lang w:val="en-GB"/>
              </w:rPr>
              <w:t>Bulgaria, Czechia, Estonia, Hungary, Latvia, Lithuania, Croatia, Slovenia, Poland, Serbia, Romania, Slovakia, Macedonia</w:t>
            </w:r>
          </w:p>
        </w:tc>
      </w:tr>
    </w:tbl>
    <w:p w:rsidR="00D018A8" w:rsidRDefault="00D018A8" w:rsidP="00D90AB3">
      <w:pPr>
        <w:pStyle w:val="ListeParagraf"/>
        <w:ind w:left="785"/>
        <w:jc w:val="both"/>
        <w:rPr>
          <w:lang w:val="en-GB"/>
        </w:rPr>
      </w:pPr>
    </w:p>
    <w:p w:rsidR="00E44B2B" w:rsidRDefault="00E44B2B" w:rsidP="00D90AB3">
      <w:pPr>
        <w:pStyle w:val="ListeParagraf"/>
        <w:ind w:left="785"/>
        <w:jc w:val="both"/>
        <w:rPr>
          <w:lang w:val="en-GB"/>
        </w:rPr>
      </w:pPr>
    </w:p>
    <w:p w:rsidR="00E44B2B" w:rsidRDefault="00E44B2B" w:rsidP="00D90AB3">
      <w:pPr>
        <w:pStyle w:val="ListeParagraf"/>
        <w:ind w:left="785"/>
        <w:jc w:val="both"/>
        <w:rPr>
          <w:lang w:val="en-GB"/>
        </w:rPr>
      </w:pPr>
    </w:p>
    <w:p w:rsidR="00E44B2B" w:rsidRDefault="00E44B2B" w:rsidP="00D90AB3">
      <w:pPr>
        <w:pStyle w:val="ListeParagraf"/>
        <w:ind w:left="785"/>
        <w:jc w:val="both"/>
        <w:rPr>
          <w:lang w:val="en-GB"/>
        </w:rPr>
      </w:pPr>
    </w:p>
    <w:p w:rsidR="00E44B2B" w:rsidRDefault="00E44B2B" w:rsidP="00D90AB3">
      <w:pPr>
        <w:pStyle w:val="ListeParagraf"/>
        <w:ind w:left="785"/>
        <w:jc w:val="both"/>
        <w:rPr>
          <w:lang w:val="en-GB"/>
        </w:rPr>
      </w:pPr>
    </w:p>
    <w:p w:rsidR="00BE75AF" w:rsidRDefault="00864809" w:rsidP="00D90AB3">
      <w:pPr>
        <w:pStyle w:val="ListeParagraf"/>
        <w:numPr>
          <w:ilvl w:val="0"/>
          <w:numId w:val="2"/>
        </w:numPr>
        <w:jc w:val="both"/>
        <w:rPr>
          <w:lang w:val="en-GB"/>
        </w:rPr>
      </w:pPr>
      <w:r>
        <w:rPr>
          <w:lang w:val="en-GB"/>
        </w:rPr>
        <w:t>How can students find details about the partner universities?</w:t>
      </w:r>
    </w:p>
    <w:p w:rsidR="00E44B2B" w:rsidRDefault="00E44B2B" w:rsidP="00D90AB3">
      <w:pPr>
        <w:pStyle w:val="ListeParagraf"/>
        <w:ind w:left="785"/>
        <w:jc w:val="both"/>
        <w:rPr>
          <w:lang w:val="en-GB"/>
        </w:rPr>
      </w:pPr>
    </w:p>
    <w:p w:rsidR="00864809" w:rsidRDefault="00E44B2B" w:rsidP="00D90AB3">
      <w:pPr>
        <w:pStyle w:val="ListeParagraf"/>
        <w:ind w:left="785"/>
        <w:jc w:val="both"/>
        <w:rPr>
          <w:lang w:val="en-GB"/>
        </w:rPr>
      </w:pPr>
      <w:r w:rsidRPr="00E44B2B">
        <w:rPr>
          <w:lang w:val="en-GB"/>
        </w:rPr>
        <w:t>Partner universities and quota lists can be accessed from the link.</w:t>
      </w:r>
      <w:r>
        <w:rPr>
          <w:lang w:val="en-GB"/>
        </w:rPr>
        <w:t xml:space="preserve"> </w:t>
      </w:r>
      <w:hyperlink r:id="rId5" w:history="1">
        <w:r w:rsidRPr="00D17DCA">
          <w:rPr>
            <w:rStyle w:val="Kpr"/>
            <w:lang w:val="en-GB"/>
          </w:rPr>
          <w:t>https://mobility.isikun.edu.tr/KION.UI.Web.ExchangeProgram/Public/AgreementList.aspx?pId=7317</w:t>
        </w:r>
      </w:hyperlink>
      <w:r>
        <w:rPr>
          <w:lang w:val="en-GB"/>
        </w:rPr>
        <w:t xml:space="preserve"> </w:t>
      </w:r>
    </w:p>
    <w:p w:rsidR="00E44B2B" w:rsidRDefault="00E44B2B" w:rsidP="00D90AB3">
      <w:pPr>
        <w:pStyle w:val="ListeParagraf"/>
        <w:ind w:left="785"/>
        <w:jc w:val="both"/>
        <w:rPr>
          <w:lang w:val="en-GB"/>
        </w:rPr>
      </w:pPr>
    </w:p>
    <w:p w:rsidR="00472076" w:rsidRPr="00B26394" w:rsidRDefault="00516880" w:rsidP="00D90AB3">
      <w:pPr>
        <w:pStyle w:val="ListeParagraf"/>
        <w:numPr>
          <w:ilvl w:val="0"/>
          <w:numId w:val="2"/>
        </w:numPr>
        <w:jc w:val="both"/>
        <w:rPr>
          <w:lang w:val="en-GB"/>
        </w:rPr>
      </w:pPr>
      <w:r w:rsidRPr="00B26394">
        <w:rPr>
          <w:lang w:val="en-GB"/>
        </w:rPr>
        <w:t>Wh</w:t>
      </w:r>
      <w:r w:rsidR="006C5CAB" w:rsidRPr="00B26394">
        <w:rPr>
          <w:lang w:val="en-GB"/>
        </w:rPr>
        <w:t>at is the calendar for E</w:t>
      </w:r>
      <w:r w:rsidR="008E187D" w:rsidRPr="00B26394">
        <w:rPr>
          <w:lang w:val="en-GB"/>
        </w:rPr>
        <w:t>rasmus</w:t>
      </w:r>
      <w:r w:rsidR="006C5CAB" w:rsidRPr="00B26394">
        <w:rPr>
          <w:lang w:val="en-GB"/>
        </w:rPr>
        <w:t xml:space="preserve"> applications? </w:t>
      </w:r>
    </w:p>
    <w:p w:rsidR="00472076" w:rsidRPr="00B26394" w:rsidRDefault="00472076" w:rsidP="00D90AB3">
      <w:pPr>
        <w:pStyle w:val="ListeParagraf"/>
        <w:jc w:val="both"/>
        <w:rPr>
          <w:lang w:val="en-GB"/>
        </w:rPr>
      </w:pPr>
    </w:p>
    <w:p w:rsidR="00472076" w:rsidRDefault="00472076" w:rsidP="00D90AB3">
      <w:pPr>
        <w:pStyle w:val="ListeParagraf"/>
        <w:jc w:val="both"/>
        <w:rPr>
          <w:lang w:val="en-GB"/>
        </w:rPr>
      </w:pPr>
      <w:r w:rsidRPr="00B26394">
        <w:rPr>
          <w:lang w:val="en-GB"/>
        </w:rPr>
        <w:t xml:space="preserve">Application calls are opened </w:t>
      </w:r>
      <w:r w:rsidR="008E187D" w:rsidRPr="00B26394">
        <w:rPr>
          <w:lang w:val="en-GB"/>
        </w:rPr>
        <w:t>in February each year for Study</w:t>
      </w:r>
      <w:r w:rsidRPr="00B26394">
        <w:rPr>
          <w:lang w:val="en-GB"/>
        </w:rPr>
        <w:t xml:space="preserve"> and Internship mobility. During the year, announcements are also published for internship mobility and staff mobility. You can f</w:t>
      </w:r>
      <w:r w:rsidR="009D4BED">
        <w:rPr>
          <w:lang w:val="en-GB"/>
        </w:rPr>
        <w:t>ollow the</w:t>
      </w:r>
      <w:r w:rsidR="00622898" w:rsidRPr="00B26394">
        <w:rPr>
          <w:lang w:val="en-GB"/>
        </w:rPr>
        <w:t xml:space="preserve"> announcements on the main </w:t>
      </w:r>
      <w:r w:rsidRPr="00B26394">
        <w:rPr>
          <w:lang w:val="en-GB"/>
        </w:rPr>
        <w:t>website</w:t>
      </w:r>
      <w:r w:rsidR="00622898" w:rsidRPr="00B26394">
        <w:rPr>
          <w:lang w:val="en-GB"/>
        </w:rPr>
        <w:t xml:space="preserve"> and international office page</w:t>
      </w:r>
      <w:r w:rsidRPr="00B26394">
        <w:rPr>
          <w:lang w:val="en-GB"/>
        </w:rPr>
        <w:t>.</w:t>
      </w:r>
      <w:r w:rsidR="00BE75AF">
        <w:rPr>
          <w:lang w:val="en-GB"/>
        </w:rPr>
        <w:t xml:space="preserve"> </w:t>
      </w:r>
      <w:hyperlink r:id="rId6" w:history="1">
        <w:r w:rsidR="00E44B2B" w:rsidRPr="007417A7">
          <w:rPr>
            <w:rStyle w:val="Kpr"/>
            <w:lang w:val="en-GB"/>
          </w:rPr>
          <w:t>https://www.isikun.edu.tr/international/announcement</w:t>
        </w:r>
      </w:hyperlink>
    </w:p>
    <w:p w:rsidR="00BE75AF" w:rsidRPr="006C4D76" w:rsidRDefault="00BE75AF" w:rsidP="00D90AB3">
      <w:pPr>
        <w:pStyle w:val="ListeParagraf"/>
        <w:jc w:val="both"/>
        <w:rPr>
          <w:lang w:val="en-GB"/>
        </w:rPr>
      </w:pPr>
    </w:p>
    <w:p w:rsidR="00472076" w:rsidRPr="00B26394" w:rsidRDefault="00472076" w:rsidP="00D90AB3">
      <w:pPr>
        <w:pStyle w:val="ListeParagraf"/>
        <w:numPr>
          <w:ilvl w:val="0"/>
          <w:numId w:val="2"/>
        </w:numPr>
        <w:jc w:val="both"/>
        <w:rPr>
          <w:lang w:val="en-GB"/>
        </w:rPr>
      </w:pPr>
      <w:r w:rsidRPr="00B26394">
        <w:rPr>
          <w:lang w:val="en-GB"/>
        </w:rPr>
        <w:t xml:space="preserve">Does the </w:t>
      </w:r>
      <w:r w:rsidR="00F71537" w:rsidRPr="00B26394">
        <w:rPr>
          <w:lang w:val="en-GB"/>
        </w:rPr>
        <w:t xml:space="preserve">University </w:t>
      </w:r>
      <w:r w:rsidR="009D4BED">
        <w:rPr>
          <w:lang w:val="en-GB"/>
        </w:rPr>
        <w:t>support</w:t>
      </w:r>
      <w:r w:rsidR="00F71537" w:rsidRPr="00B26394">
        <w:rPr>
          <w:lang w:val="en-GB"/>
        </w:rPr>
        <w:t xml:space="preserve"> its students</w:t>
      </w:r>
      <w:r w:rsidRPr="00B26394">
        <w:rPr>
          <w:lang w:val="en-GB"/>
        </w:rPr>
        <w:t xml:space="preserve"> with</w:t>
      </w:r>
      <w:r w:rsidR="00B26394" w:rsidRPr="00B26394">
        <w:rPr>
          <w:lang w:val="en-GB"/>
        </w:rPr>
        <w:t xml:space="preserve"> the </w:t>
      </w:r>
      <w:r w:rsidR="00F71537" w:rsidRPr="00B26394">
        <w:rPr>
          <w:lang w:val="en-GB"/>
        </w:rPr>
        <w:t>travelling procedures such as</w:t>
      </w:r>
      <w:r w:rsidRPr="00B26394">
        <w:rPr>
          <w:lang w:val="en-GB"/>
        </w:rPr>
        <w:t xml:space="preserve"> pass</w:t>
      </w:r>
      <w:r w:rsidR="00F71537" w:rsidRPr="00B26394">
        <w:rPr>
          <w:lang w:val="en-GB"/>
        </w:rPr>
        <w:t xml:space="preserve">port, visa, </w:t>
      </w:r>
      <w:r w:rsidR="00B26394" w:rsidRPr="00B26394">
        <w:rPr>
          <w:lang w:val="en-GB"/>
        </w:rPr>
        <w:t>and accommodation</w:t>
      </w:r>
      <w:r w:rsidRPr="00B26394">
        <w:rPr>
          <w:lang w:val="en-GB"/>
        </w:rPr>
        <w:t>?</w:t>
      </w:r>
    </w:p>
    <w:p w:rsidR="00472076" w:rsidRPr="00B26394" w:rsidRDefault="00472076" w:rsidP="00D90AB3">
      <w:pPr>
        <w:pStyle w:val="ListeParagraf"/>
        <w:jc w:val="both"/>
        <w:rPr>
          <w:lang w:val="en-GB"/>
        </w:rPr>
      </w:pPr>
    </w:p>
    <w:p w:rsidR="00B26394" w:rsidRDefault="00B26394" w:rsidP="00D90AB3">
      <w:pPr>
        <w:pStyle w:val="ListeParagraf"/>
        <w:jc w:val="both"/>
        <w:rPr>
          <w:lang w:val="en-GB"/>
        </w:rPr>
      </w:pPr>
      <w:r w:rsidRPr="00B26394">
        <w:rPr>
          <w:lang w:val="en-GB"/>
        </w:rPr>
        <w:t xml:space="preserve">Travelling procedures such as issuing passport, obtaining visa, arranging </w:t>
      </w:r>
      <w:r>
        <w:rPr>
          <w:lang w:val="en-GB"/>
        </w:rPr>
        <w:t>accommodation are the</w:t>
      </w:r>
      <w:r w:rsidRPr="00B26394">
        <w:rPr>
          <w:lang w:val="en-GB"/>
        </w:rPr>
        <w:t xml:space="preserve"> responsibilities of </w:t>
      </w:r>
      <w:r w:rsidR="002D4812">
        <w:rPr>
          <w:lang w:val="en-GB"/>
        </w:rPr>
        <w:t xml:space="preserve">the students and should be carefully completed. </w:t>
      </w:r>
      <w:r w:rsidR="009D4BED">
        <w:rPr>
          <w:lang w:val="en-GB"/>
        </w:rPr>
        <w:t xml:space="preserve">In some cases, </w:t>
      </w:r>
      <w:r w:rsidR="00E44B2B">
        <w:rPr>
          <w:lang w:val="en-GB"/>
        </w:rPr>
        <w:t>f</w:t>
      </w:r>
      <w:r w:rsidR="002D4812">
        <w:rPr>
          <w:lang w:val="en-GB"/>
        </w:rPr>
        <w:t>urther support</w:t>
      </w:r>
      <w:r w:rsidR="009D4BED">
        <w:rPr>
          <w:lang w:val="en-GB"/>
        </w:rPr>
        <w:t xml:space="preserve"> -</w:t>
      </w:r>
      <w:r w:rsidR="002D4812">
        <w:rPr>
          <w:lang w:val="en-GB"/>
        </w:rPr>
        <w:t xml:space="preserve"> when necessary</w:t>
      </w:r>
      <w:r w:rsidR="009D4BED">
        <w:rPr>
          <w:lang w:val="en-GB"/>
        </w:rPr>
        <w:t>-</w:t>
      </w:r>
      <w:r w:rsidR="002D4812">
        <w:rPr>
          <w:lang w:val="en-GB"/>
        </w:rPr>
        <w:t xml:space="preserve"> will be given by the relevant units. </w:t>
      </w:r>
      <w:r w:rsidRPr="00B26394">
        <w:rPr>
          <w:lang w:val="en-GB"/>
        </w:rPr>
        <w:t xml:space="preserve"> </w:t>
      </w:r>
    </w:p>
    <w:p w:rsidR="00B26394" w:rsidRDefault="00B26394" w:rsidP="00D90AB3">
      <w:pPr>
        <w:pStyle w:val="ListeParagraf"/>
        <w:jc w:val="both"/>
        <w:rPr>
          <w:lang w:val="en-GB"/>
        </w:rPr>
      </w:pPr>
    </w:p>
    <w:p w:rsidR="00472076" w:rsidRPr="00B26394" w:rsidRDefault="00472076" w:rsidP="00D90AB3">
      <w:pPr>
        <w:pStyle w:val="ListeParagraf"/>
        <w:jc w:val="both"/>
        <w:rPr>
          <w:lang w:val="en-GB"/>
        </w:rPr>
      </w:pPr>
    </w:p>
    <w:p w:rsidR="00472076" w:rsidRPr="00B26394" w:rsidRDefault="00864809" w:rsidP="00D90AB3">
      <w:pPr>
        <w:pStyle w:val="ListeParagraf"/>
        <w:numPr>
          <w:ilvl w:val="0"/>
          <w:numId w:val="2"/>
        </w:numPr>
        <w:jc w:val="both"/>
        <w:rPr>
          <w:lang w:val="en-GB"/>
        </w:rPr>
      </w:pPr>
      <w:r>
        <w:rPr>
          <w:lang w:val="en-GB"/>
        </w:rPr>
        <w:t xml:space="preserve">Can students </w:t>
      </w:r>
      <w:r w:rsidR="006F3EE0">
        <w:rPr>
          <w:lang w:val="en-GB"/>
        </w:rPr>
        <w:t>participate in Erasmus program</w:t>
      </w:r>
      <w:r w:rsidR="00472076" w:rsidRPr="00B26394">
        <w:rPr>
          <w:lang w:val="en-GB"/>
        </w:rPr>
        <w:t xml:space="preserve"> after graduation?</w:t>
      </w:r>
    </w:p>
    <w:p w:rsidR="00472076" w:rsidRPr="00B26394" w:rsidRDefault="00472076" w:rsidP="00D90AB3">
      <w:pPr>
        <w:pStyle w:val="ListeParagraf"/>
        <w:jc w:val="both"/>
        <w:rPr>
          <w:lang w:val="en-GB"/>
        </w:rPr>
      </w:pPr>
    </w:p>
    <w:p w:rsidR="00472076" w:rsidRPr="00B26394" w:rsidRDefault="004647B2" w:rsidP="00D90AB3">
      <w:pPr>
        <w:pStyle w:val="ListeParagraf"/>
        <w:jc w:val="both"/>
        <w:rPr>
          <w:lang w:val="en-GB"/>
        </w:rPr>
      </w:pPr>
      <w:r w:rsidRPr="00B26394">
        <w:rPr>
          <w:lang w:val="en-GB"/>
        </w:rPr>
        <w:t xml:space="preserve">Within the frame </w:t>
      </w:r>
      <w:r w:rsidR="00472076" w:rsidRPr="00B26394">
        <w:rPr>
          <w:lang w:val="en-GB"/>
        </w:rPr>
        <w:t xml:space="preserve">of internship mobility, </w:t>
      </w:r>
      <w:r w:rsidR="006F3EE0">
        <w:rPr>
          <w:lang w:val="en-GB"/>
        </w:rPr>
        <w:t>students can participate in</w:t>
      </w:r>
      <w:r w:rsidR="00472076" w:rsidRPr="00B26394">
        <w:rPr>
          <w:lang w:val="en-GB"/>
        </w:rPr>
        <w:t xml:space="preserve"> internship mobility wit</w:t>
      </w:r>
      <w:r w:rsidR="003E2D27" w:rsidRPr="00B26394">
        <w:rPr>
          <w:lang w:val="en-GB"/>
        </w:rPr>
        <w:t xml:space="preserve">hin 12 months after graduation </w:t>
      </w:r>
      <w:r w:rsidRPr="00B26394">
        <w:rPr>
          <w:lang w:val="en-GB"/>
        </w:rPr>
        <w:t xml:space="preserve">on </w:t>
      </w:r>
      <w:r w:rsidR="00E5745B" w:rsidRPr="00B26394">
        <w:rPr>
          <w:lang w:val="en-GB"/>
        </w:rPr>
        <w:t xml:space="preserve">the </w:t>
      </w:r>
      <w:r w:rsidRPr="00B26394">
        <w:rPr>
          <w:lang w:val="en-GB"/>
        </w:rPr>
        <w:t xml:space="preserve">condition </w:t>
      </w:r>
      <w:r w:rsidR="00C17FC7" w:rsidRPr="00B26394">
        <w:rPr>
          <w:lang w:val="en-GB"/>
        </w:rPr>
        <w:t>that application</w:t>
      </w:r>
      <w:r w:rsidR="00472076" w:rsidRPr="00B26394">
        <w:rPr>
          <w:lang w:val="en-GB"/>
        </w:rPr>
        <w:t xml:space="preserve"> is made and selected before graduation.</w:t>
      </w:r>
    </w:p>
    <w:p w:rsidR="00472076" w:rsidRPr="00B26394" w:rsidRDefault="00472076" w:rsidP="00D90AB3">
      <w:pPr>
        <w:pStyle w:val="ListeParagraf"/>
        <w:jc w:val="both"/>
        <w:rPr>
          <w:lang w:val="en-GB"/>
        </w:rPr>
      </w:pPr>
    </w:p>
    <w:p w:rsidR="00472076" w:rsidRPr="00B26394" w:rsidRDefault="00864809" w:rsidP="00D90AB3">
      <w:pPr>
        <w:pStyle w:val="ListeParagraf"/>
        <w:numPr>
          <w:ilvl w:val="0"/>
          <w:numId w:val="2"/>
        </w:numPr>
        <w:jc w:val="both"/>
        <w:rPr>
          <w:lang w:val="en-GB"/>
        </w:rPr>
      </w:pPr>
      <w:r>
        <w:rPr>
          <w:lang w:val="en-GB"/>
        </w:rPr>
        <w:t>Can students</w:t>
      </w:r>
      <w:r w:rsidR="00472076" w:rsidRPr="00B26394">
        <w:rPr>
          <w:lang w:val="en-GB"/>
        </w:rPr>
        <w:t xml:space="preserve"> </w:t>
      </w:r>
      <w:r w:rsidR="006F3EE0">
        <w:rPr>
          <w:lang w:val="en-GB"/>
        </w:rPr>
        <w:t>participate in both study</w:t>
      </w:r>
      <w:r w:rsidR="00472076" w:rsidRPr="00B26394">
        <w:rPr>
          <w:lang w:val="en-GB"/>
        </w:rPr>
        <w:t xml:space="preserve"> and </w:t>
      </w:r>
      <w:r w:rsidR="006F3EE0">
        <w:rPr>
          <w:lang w:val="en-GB"/>
        </w:rPr>
        <w:t>traineeship</w:t>
      </w:r>
      <w:r w:rsidR="00472076" w:rsidRPr="00B26394">
        <w:rPr>
          <w:lang w:val="en-GB"/>
        </w:rPr>
        <w:t xml:space="preserve"> mobility</w:t>
      </w:r>
      <w:r w:rsidR="006F3EE0">
        <w:rPr>
          <w:lang w:val="en-GB"/>
        </w:rPr>
        <w:t xml:space="preserve"> programs</w:t>
      </w:r>
      <w:r w:rsidR="00472076" w:rsidRPr="00B26394">
        <w:rPr>
          <w:lang w:val="en-GB"/>
        </w:rPr>
        <w:t>?</w:t>
      </w:r>
    </w:p>
    <w:p w:rsidR="00472076" w:rsidRPr="00B26394" w:rsidRDefault="00472076" w:rsidP="00D90AB3">
      <w:pPr>
        <w:pStyle w:val="ListeParagraf"/>
        <w:jc w:val="both"/>
        <w:rPr>
          <w:lang w:val="en-GB"/>
        </w:rPr>
      </w:pPr>
    </w:p>
    <w:p w:rsidR="00BE75AF" w:rsidRDefault="006F3EE0" w:rsidP="00D90AB3">
      <w:pPr>
        <w:pStyle w:val="ListeParagraf"/>
        <w:jc w:val="both"/>
        <w:rPr>
          <w:lang w:val="en-GB"/>
        </w:rPr>
      </w:pPr>
      <w:r>
        <w:rPr>
          <w:lang w:val="en-GB"/>
        </w:rPr>
        <w:t>Students c</w:t>
      </w:r>
      <w:r w:rsidR="00D1433C">
        <w:rPr>
          <w:lang w:val="en-GB"/>
        </w:rPr>
        <w:t xml:space="preserve">an participate in both programs at the same time or different time. </w:t>
      </w:r>
      <w:r w:rsidR="00D1433C" w:rsidRPr="00D1433C">
        <w:rPr>
          <w:lang w:val="en-GB"/>
        </w:rPr>
        <w:t>In case of applying at the same time,</w:t>
      </w:r>
      <w:r w:rsidR="002854EC" w:rsidRPr="002854EC">
        <w:t xml:space="preserve"> </w:t>
      </w:r>
      <w:r w:rsidR="002854EC" w:rsidRPr="002854EC">
        <w:rPr>
          <w:lang w:val="en-GB"/>
        </w:rPr>
        <w:t xml:space="preserve">“-10 points” is applied </w:t>
      </w:r>
      <w:r w:rsidR="002854EC">
        <w:rPr>
          <w:lang w:val="en-GB"/>
        </w:rPr>
        <w:t>in the evaluation and it is leave</w:t>
      </w:r>
      <w:r w:rsidR="002854EC" w:rsidRPr="002854EC">
        <w:rPr>
          <w:lang w:val="en-GB"/>
        </w:rPr>
        <w:t xml:space="preserve"> to the student's choice for which mobility it will be applied.</w:t>
      </w:r>
      <w:r w:rsidR="002854EC">
        <w:rPr>
          <w:lang w:val="en-GB"/>
        </w:rPr>
        <w:t xml:space="preserve"> </w:t>
      </w:r>
      <w:r>
        <w:rPr>
          <w:lang w:val="en-GB"/>
        </w:rPr>
        <w:t>Students can participate in</w:t>
      </w:r>
      <w:r w:rsidR="00472076" w:rsidRPr="00B26394">
        <w:rPr>
          <w:lang w:val="en-GB"/>
        </w:rPr>
        <w:t xml:space="preserve"> mobility within the </w:t>
      </w:r>
      <w:r w:rsidR="003E2D27" w:rsidRPr="00B26394">
        <w:rPr>
          <w:lang w:val="en-GB"/>
        </w:rPr>
        <w:t xml:space="preserve">frame </w:t>
      </w:r>
      <w:r w:rsidR="00472076" w:rsidRPr="00B26394">
        <w:rPr>
          <w:lang w:val="en-GB"/>
        </w:rPr>
        <w:t>of the program for 12 months in every education level (Associate, Bache</w:t>
      </w:r>
      <w:r w:rsidR="00C17FC7">
        <w:rPr>
          <w:lang w:val="en-GB"/>
        </w:rPr>
        <w:t xml:space="preserve">lor, Master, </w:t>
      </w:r>
      <w:r w:rsidR="00D1433C">
        <w:rPr>
          <w:lang w:val="en-GB"/>
        </w:rPr>
        <w:t>and Doctorate</w:t>
      </w:r>
      <w:r w:rsidR="00C17FC7">
        <w:rPr>
          <w:lang w:val="en-GB"/>
        </w:rPr>
        <w:t xml:space="preserve">). </w:t>
      </w:r>
      <w:r w:rsidR="00BE75AF">
        <w:rPr>
          <w:lang w:val="en-GB"/>
        </w:rPr>
        <w:t xml:space="preserve">Traineeship </w:t>
      </w:r>
      <w:r w:rsidR="00BE75AF" w:rsidRPr="00B26394">
        <w:rPr>
          <w:lang w:val="en-GB"/>
        </w:rPr>
        <w:t>periods</w:t>
      </w:r>
      <w:r w:rsidR="00472076" w:rsidRPr="00B26394">
        <w:rPr>
          <w:lang w:val="en-GB"/>
        </w:rPr>
        <w:t xml:space="preserve"> are minimum 2 months and maximum 12 months. </w:t>
      </w:r>
      <w:r w:rsidR="003E2D27" w:rsidRPr="00B26394">
        <w:rPr>
          <w:lang w:val="en-GB"/>
        </w:rPr>
        <w:t>Qu</w:t>
      </w:r>
      <w:r w:rsidR="00E5745B" w:rsidRPr="00B26394">
        <w:rPr>
          <w:lang w:val="en-GB"/>
        </w:rPr>
        <w:t>a</w:t>
      </w:r>
      <w:r w:rsidR="003E2D27" w:rsidRPr="00B26394">
        <w:rPr>
          <w:lang w:val="en-GB"/>
        </w:rPr>
        <w:t>lifying a grant and how long you can receive a grant will be announced after the evaluation-selection processes.</w:t>
      </w:r>
    </w:p>
    <w:p w:rsidR="00BE75AF" w:rsidRPr="00BE75AF" w:rsidRDefault="00BE75AF" w:rsidP="00D90AB3">
      <w:pPr>
        <w:pStyle w:val="ListeParagraf"/>
        <w:jc w:val="both"/>
        <w:rPr>
          <w:lang w:val="en-GB"/>
        </w:rPr>
      </w:pPr>
    </w:p>
    <w:p w:rsidR="00E03DB2" w:rsidRDefault="00BE75AF" w:rsidP="00D90AB3">
      <w:pPr>
        <w:pStyle w:val="ListeParagraf"/>
        <w:numPr>
          <w:ilvl w:val="0"/>
          <w:numId w:val="2"/>
        </w:numPr>
        <w:jc w:val="both"/>
        <w:rPr>
          <w:lang w:val="en-GB"/>
        </w:rPr>
      </w:pPr>
      <w:r w:rsidRPr="00BE75AF">
        <w:rPr>
          <w:lang w:val="en-GB"/>
        </w:rPr>
        <w:t>H</w:t>
      </w:r>
      <w:r w:rsidR="00864809">
        <w:rPr>
          <w:lang w:val="en-GB"/>
        </w:rPr>
        <w:t xml:space="preserve">ow many ECTS should students </w:t>
      </w:r>
      <w:r>
        <w:rPr>
          <w:lang w:val="en-GB"/>
        </w:rPr>
        <w:t>take per semester in the receiving university?</w:t>
      </w:r>
    </w:p>
    <w:p w:rsidR="00D1433C" w:rsidRPr="00BE75AF" w:rsidRDefault="00D1433C" w:rsidP="00D90AB3">
      <w:pPr>
        <w:pStyle w:val="ListeParagraf"/>
        <w:ind w:left="785"/>
        <w:jc w:val="both"/>
        <w:rPr>
          <w:lang w:val="en-GB"/>
        </w:rPr>
      </w:pPr>
    </w:p>
    <w:p w:rsidR="00781759" w:rsidRDefault="00E03DB2" w:rsidP="00D90AB3">
      <w:pPr>
        <w:pStyle w:val="ListeParagraf"/>
        <w:ind w:left="785"/>
        <w:jc w:val="both"/>
        <w:rPr>
          <w:lang w:val="en-GB"/>
        </w:rPr>
      </w:pPr>
      <w:r w:rsidRPr="00B26394">
        <w:rPr>
          <w:lang w:val="en-GB"/>
        </w:rPr>
        <w:t>Students who will participate in study mobility are required to have 30 ECTS for 1 semester and 60 ECTS for 1 academic year.</w:t>
      </w:r>
      <w:r w:rsidR="008E187D" w:rsidRPr="00B26394">
        <w:rPr>
          <w:lang w:val="en-GB"/>
        </w:rPr>
        <w:t xml:space="preserve"> Full recognition is provided for the courses taken by the students at the partner university.</w:t>
      </w:r>
    </w:p>
    <w:p w:rsidR="00D1433C" w:rsidRPr="00D1433C" w:rsidRDefault="00D1433C" w:rsidP="00D90AB3">
      <w:pPr>
        <w:pStyle w:val="ListeParagraf"/>
        <w:ind w:left="785"/>
        <w:jc w:val="both"/>
        <w:rPr>
          <w:lang w:val="en-GB"/>
        </w:rPr>
      </w:pPr>
    </w:p>
    <w:p w:rsidR="00864809" w:rsidRDefault="004D0E8E" w:rsidP="00D90AB3">
      <w:pPr>
        <w:pStyle w:val="ListeParagraf"/>
        <w:numPr>
          <w:ilvl w:val="0"/>
          <w:numId w:val="2"/>
        </w:numPr>
        <w:jc w:val="both"/>
        <w:rPr>
          <w:lang w:val="en-GB"/>
        </w:rPr>
      </w:pPr>
      <w:r>
        <w:rPr>
          <w:lang w:val="en-GB"/>
        </w:rPr>
        <w:t xml:space="preserve">How </w:t>
      </w:r>
      <w:r w:rsidR="00864809">
        <w:rPr>
          <w:lang w:val="en-GB"/>
        </w:rPr>
        <w:t xml:space="preserve">much grants do students receive? </w:t>
      </w:r>
    </w:p>
    <w:p w:rsidR="00D1433C" w:rsidRDefault="00D1433C" w:rsidP="00D90AB3">
      <w:pPr>
        <w:pStyle w:val="ListeParagraf"/>
        <w:ind w:left="785"/>
        <w:jc w:val="both"/>
        <w:rPr>
          <w:lang w:val="en-GB"/>
        </w:rPr>
      </w:pPr>
    </w:p>
    <w:p w:rsidR="00D22BAB" w:rsidRDefault="00107A98" w:rsidP="00D90AB3">
      <w:pPr>
        <w:pStyle w:val="ListeParagraf"/>
        <w:ind w:left="785"/>
        <w:jc w:val="both"/>
        <w:rPr>
          <w:lang w:val="en-GB"/>
        </w:rPr>
      </w:pPr>
      <w:r w:rsidRPr="00107A98">
        <w:rPr>
          <w:lang w:val="en-GB"/>
        </w:rPr>
        <w:t xml:space="preserve">The amount of Erasmus grant to be given to students is determined by the National Agency every year according to the countries. Grant amounts according to countries and mobility type </w:t>
      </w:r>
      <w:r w:rsidRPr="00107A98">
        <w:rPr>
          <w:lang w:val="en-GB"/>
        </w:rPr>
        <w:lastRenderedPageBreak/>
        <w:t>are as follows. In case the amount of grant allocated to our university is sufficient for all selected students, grants are calculated according to the course start and final week end dates in the academic calendar of the partner universities, and according to the dates in the acceptance letter for internship mobility and specified in the grant agreement.</w:t>
      </w:r>
    </w:p>
    <w:tbl>
      <w:tblPr>
        <w:tblStyle w:val="TabloKlavuzu"/>
        <w:tblW w:w="0" w:type="auto"/>
        <w:tblInd w:w="988" w:type="dxa"/>
        <w:tblLook w:val="04A0" w:firstRow="1" w:lastRow="0" w:firstColumn="1" w:lastColumn="0" w:noHBand="0" w:noVBand="1"/>
      </w:tblPr>
      <w:tblGrid>
        <w:gridCol w:w="1751"/>
        <w:gridCol w:w="1711"/>
        <w:gridCol w:w="1801"/>
      </w:tblGrid>
      <w:tr w:rsidR="00D22BAB" w:rsidTr="00D22BAB">
        <w:trPr>
          <w:trHeight w:val="391"/>
        </w:trPr>
        <w:tc>
          <w:tcPr>
            <w:tcW w:w="1751" w:type="dxa"/>
          </w:tcPr>
          <w:p w:rsidR="00D22BAB" w:rsidRDefault="00D22BAB" w:rsidP="00D90AB3">
            <w:pPr>
              <w:jc w:val="both"/>
              <w:rPr>
                <w:lang w:val="en-GB"/>
              </w:rPr>
            </w:pPr>
          </w:p>
        </w:tc>
        <w:tc>
          <w:tcPr>
            <w:tcW w:w="1711" w:type="dxa"/>
          </w:tcPr>
          <w:p w:rsidR="00D22BAB" w:rsidRDefault="00D22BAB" w:rsidP="00D90AB3">
            <w:pPr>
              <w:pStyle w:val="ListeParagraf"/>
              <w:ind w:left="0"/>
              <w:jc w:val="both"/>
              <w:rPr>
                <w:lang w:val="en-GB"/>
              </w:rPr>
            </w:pPr>
            <w:r>
              <w:rPr>
                <w:lang w:val="en-GB"/>
              </w:rPr>
              <w:t>Study (Monthly)</w:t>
            </w:r>
          </w:p>
        </w:tc>
        <w:tc>
          <w:tcPr>
            <w:tcW w:w="1801" w:type="dxa"/>
          </w:tcPr>
          <w:p w:rsidR="00D22BAB" w:rsidRDefault="00D22BAB" w:rsidP="00D90AB3">
            <w:pPr>
              <w:pStyle w:val="ListeParagraf"/>
              <w:ind w:left="0"/>
              <w:jc w:val="both"/>
              <w:rPr>
                <w:lang w:val="en-GB"/>
              </w:rPr>
            </w:pPr>
            <w:r>
              <w:rPr>
                <w:lang w:val="en-GB"/>
              </w:rPr>
              <w:t>Traineeship</w:t>
            </w:r>
            <w:r>
              <w:rPr>
                <w:lang w:val="en-GB"/>
              </w:rPr>
              <w:br/>
              <w:t>(Monthly)</w:t>
            </w:r>
          </w:p>
        </w:tc>
      </w:tr>
      <w:tr w:rsidR="00D22BAB" w:rsidTr="00D22BAB">
        <w:trPr>
          <w:trHeight w:val="391"/>
        </w:trPr>
        <w:tc>
          <w:tcPr>
            <w:tcW w:w="1751" w:type="dxa"/>
          </w:tcPr>
          <w:p w:rsidR="00D22BAB" w:rsidRPr="00D22BAB" w:rsidRDefault="00D22BAB" w:rsidP="00D90AB3">
            <w:pPr>
              <w:jc w:val="both"/>
              <w:rPr>
                <w:sz w:val="20"/>
                <w:szCs w:val="20"/>
                <w:lang w:val="en-GB"/>
              </w:rPr>
            </w:pPr>
            <w:r w:rsidRPr="00D22BAB">
              <w:rPr>
                <w:sz w:val="20"/>
                <w:szCs w:val="20"/>
                <w:lang w:val="en-GB"/>
              </w:rPr>
              <w:t>1</w:t>
            </w:r>
            <w:r w:rsidRPr="00D22BAB">
              <w:rPr>
                <w:sz w:val="20"/>
                <w:szCs w:val="20"/>
                <w:vertAlign w:val="superscript"/>
                <w:lang w:val="en-GB"/>
              </w:rPr>
              <w:t>st</w:t>
            </w:r>
            <w:r w:rsidRPr="00D22BAB">
              <w:rPr>
                <w:sz w:val="20"/>
                <w:szCs w:val="20"/>
                <w:lang w:val="en-GB"/>
              </w:rPr>
              <w:t xml:space="preserve"> and 2</w:t>
            </w:r>
            <w:r w:rsidRPr="00D22BAB">
              <w:rPr>
                <w:sz w:val="20"/>
                <w:szCs w:val="20"/>
                <w:vertAlign w:val="superscript"/>
                <w:lang w:val="en-GB"/>
              </w:rPr>
              <w:t>nd</w:t>
            </w:r>
            <w:r w:rsidRPr="00D22BAB">
              <w:rPr>
                <w:sz w:val="20"/>
                <w:szCs w:val="20"/>
                <w:lang w:val="en-GB"/>
              </w:rPr>
              <w:t xml:space="preserve"> Group Countries </w:t>
            </w:r>
          </w:p>
        </w:tc>
        <w:tc>
          <w:tcPr>
            <w:tcW w:w="1711" w:type="dxa"/>
          </w:tcPr>
          <w:p w:rsidR="00D22BAB" w:rsidRDefault="00D22BAB" w:rsidP="00D90AB3">
            <w:pPr>
              <w:pStyle w:val="ListeParagraf"/>
              <w:ind w:left="0"/>
              <w:jc w:val="both"/>
              <w:rPr>
                <w:lang w:val="en-GB"/>
              </w:rPr>
            </w:pPr>
            <w:r>
              <w:rPr>
                <w:lang w:val="en-GB"/>
              </w:rPr>
              <w:t>500 €</w:t>
            </w:r>
          </w:p>
        </w:tc>
        <w:tc>
          <w:tcPr>
            <w:tcW w:w="1801" w:type="dxa"/>
          </w:tcPr>
          <w:p w:rsidR="00D22BAB" w:rsidRDefault="00D22BAB" w:rsidP="00D90AB3">
            <w:pPr>
              <w:pStyle w:val="ListeParagraf"/>
              <w:ind w:left="0"/>
              <w:jc w:val="both"/>
              <w:rPr>
                <w:lang w:val="en-GB"/>
              </w:rPr>
            </w:pPr>
            <w:r>
              <w:rPr>
                <w:lang w:val="en-GB"/>
              </w:rPr>
              <w:t>600 €</w:t>
            </w:r>
          </w:p>
        </w:tc>
      </w:tr>
      <w:tr w:rsidR="00D22BAB" w:rsidTr="00D22BAB">
        <w:trPr>
          <w:trHeight w:val="458"/>
        </w:trPr>
        <w:tc>
          <w:tcPr>
            <w:tcW w:w="1751" w:type="dxa"/>
          </w:tcPr>
          <w:p w:rsidR="00D22BAB" w:rsidRPr="00D22BAB" w:rsidRDefault="00D22BAB" w:rsidP="00D90AB3">
            <w:pPr>
              <w:pStyle w:val="ListeParagraf"/>
              <w:ind w:left="0"/>
              <w:jc w:val="both"/>
              <w:rPr>
                <w:sz w:val="20"/>
                <w:szCs w:val="20"/>
                <w:lang w:val="en-GB"/>
              </w:rPr>
            </w:pPr>
            <w:r w:rsidRPr="00D22BAB">
              <w:rPr>
                <w:sz w:val="20"/>
                <w:szCs w:val="20"/>
                <w:lang w:val="en-GB"/>
              </w:rPr>
              <w:t>3</w:t>
            </w:r>
            <w:r w:rsidRPr="00D22BAB">
              <w:rPr>
                <w:sz w:val="20"/>
                <w:szCs w:val="20"/>
                <w:vertAlign w:val="superscript"/>
                <w:lang w:val="en-GB"/>
              </w:rPr>
              <w:t>rd</w:t>
            </w:r>
            <w:r w:rsidRPr="00D22BAB">
              <w:rPr>
                <w:sz w:val="20"/>
                <w:szCs w:val="20"/>
                <w:lang w:val="en-GB"/>
              </w:rPr>
              <w:t xml:space="preserve"> Group Contries</w:t>
            </w:r>
          </w:p>
        </w:tc>
        <w:tc>
          <w:tcPr>
            <w:tcW w:w="1711" w:type="dxa"/>
          </w:tcPr>
          <w:p w:rsidR="00D22BAB" w:rsidRDefault="00D22BAB" w:rsidP="00D90AB3">
            <w:pPr>
              <w:pStyle w:val="ListeParagraf"/>
              <w:ind w:left="0"/>
              <w:jc w:val="both"/>
              <w:rPr>
                <w:lang w:val="en-GB"/>
              </w:rPr>
            </w:pPr>
            <w:r>
              <w:rPr>
                <w:lang w:val="en-GB"/>
              </w:rPr>
              <w:t>300 €</w:t>
            </w:r>
          </w:p>
        </w:tc>
        <w:tc>
          <w:tcPr>
            <w:tcW w:w="1801" w:type="dxa"/>
          </w:tcPr>
          <w:p w:rsidR="00D22BAB" w:rsidRDefault="00D22BAB" w:rsidP="00D90AB3">
            <w:pPr>
              <w:pStyle w:val="ListeParagraf"/>
              <w:ind w:left="0"/>
              <w:jc w:val="both"/>
              <w:rPr>
                <w:lang w:val="en-GB"/>
              </w:rPr>
            </w:pPr>
            <w:r>
              <w:rPr>
                <w:lang w:val="en-GB"/>
              </w:rPr>
              <w:t>400 €</w:t>
            </w:r>
          </w:p>
        </w:tc>
      </w:tr>
    </w:tbl>
    <w:p w:rsidR="00D22BAB" w:rsidRDefault="00D22BAB" w:rsidP="00D90AB3">
      <w:pPr>
        <w:pStyle w:val="ListeParagraf"/>
        <w:ind w:left="785"/>
        <w:jc w:val="both"/>
        <w:rPr>
          <w:lang w:val="en-GB"/>
        </w:rPr>
      </w:pPr>
    </w:p>
    <w:p w:rsidR="00D1433C" w:rsidRDefault="00D1433C" w:rsidP="00D90AB3">
      <w:pPr>
        <w:pStyle w:val="ListeParagraf"/>
        <w:ind w:left="785"/>
        <w:jc w:val="both"/>
        <w:rPr>
          <w:lang w:val="en-GB"/>
        </w:rPr>
      </w:pPr>
    </w:p>
    <w:p w:rsidR="003F2000" w:rsidRDefault="00864809" w:rsidP="00D90AB3">
      <w:pPr>
        <w:pStyle w:val="ListeParagraf"/>
        <w:numPr>
          <w:ilvl w:val="0"/>
          <w:numId w:val="2"/>
        </w:numPr>
        <w:jc w:val="both"/>
        <w:rPr>
          <w:lang w:val="en-GB"/>
        </w:rPr>
      </w:pPr>
      <w:r>
        <w:rPr>
          <w:lang w:val="en-GB"/>
        </w:rPr>
        <w:t>Can students participate in Erasmus without receiving grants?</w:t>
      </w:r>
    </w:p>
    <w:p w:rsidR="002854EC" w:rsidRPr="003F2000" w:rsidRDefault="002854EC" w:rsidP="00D90AB3">
      <w:pPr>
        <w:pStyle w:val="ListeParagraf"/>
        <w:ind w:left="785"/>
        <w:jc w:val="both"/>
        <w:rPr>
          <w:lang w:val="en-GB"/>
        </w:rPr>
      </w:pPr>
    </w:p>
    <w:p w:rsidR="00864809" w:rsidRPr="00864809" w:rsidRDefault="002854EC" w:rsidP="00D90AB3">
      <w:pPr>
        <w:pStyle w:val="ListeParagraf"/>
        <w:jc w:val="both"/>
        <w:rPr>
          <w:lang w:val="en-GB"/>
        </w:rPr>
      </w:pPr>
      <w:r>
        <w:rPr>
          <w:lang w:val="en-GB"/>
        </w:rPr>
        <w:t>S</w:t>
      </w:r>
      <w:r w:rsidRPr="002854EC">
        <w:rPr>
          <w:lang w:val="en-GB"/>
        </w:rPr>
        <w:t>tudents can participate in Erasmus Exchange without a grant.</w:t>
      </w:r>
      <w:r w:rsidR="00E423D2">
        <w:rPr>
          <w:lang w:val="en-GB"/>
        </w:rPr>
        <w:t xml:space="preserve"> </w:t>
      </w:r>
      <w:r w:rsidR="00E423D2" w:rsidRPr="00E423D2">
        <w:rPr>
          <w:lang w:val="en-GB"/>
        </w:rPr>
        <w:t>The student must have the minimum requirements to apply.</w:t>
      </w:r>
      <w:r>
        <w:rPr>
          <w:lang w:val="en-GB"/>
        </w:rPr>
        <w:t xml:space="preserve"> T</w:t>
      </w:r>
      <w:r w:rsidRPr="002854EC">
        <w:rPr>
          <w:lang w:val="en-GB"/>
        </w:rPr>
        <w:t>hey should follow the processes and get inv</w:t>
      </w:r>
      <w:r>
        <w:rPr>
          <w:lang w:val="en-GB"/>
        </w:rPr>
        <w:t xml:space="preserve">olved in the evaluation process as students with a grant. </w:t>
      </w:r>
      <w:r w:rsidRPr="002854EC">
        <w:rPr>
          <w:lang w:val="en-GB"/>
        </w:rPr>
        <w:t>The only difference is that no grant payments are made.</w:t>
      </w:r>
    </w:p>
    <w:p w:rsidR="003F2000" w:rsidRDefault="003F2000" w:rsidP="00D90AB3">
      <w:pPr>
        <w:pStyle w:val="ListeParagraf"/>
        <w:ind w:left="785"/>
        <w:jc w:val="both"/>
        <w:rPr>
          <w:lang w:val="en-GB"/>
        </w:rPr>
      </w:pPr>
    </w:p>
    <w:p w:rsidR="00781759" w:rsidRPr="00864809" w:rsidRDefault="00864809" w:rsidP="00D90AB3">
      <w:pPr>
        <w:pStyle w:val="ListeParagraf"/>
        <w:numPr>
          <w:ilvl w:val="0"/>
          <w:numId w:val="2"/>
        </w:numPr>
        <w:jc w:val="both"/>
        <w:rPr>
          <w:lang w:val="en-GB"/>
        </w:rPr>
      </w:pPr>
      <w:r>
        <w:rPr>
          <w:lang w:val="en-GB"/>
        </w:rPr>
        <w:t>When and how do students receive their grants?</w:t>
      </w:r>
    </w:p>
    <w:p w:rsidR="00E423D2" w:rsidRDefault="00E423D2" w:rsidP="00D90AB3">
      <w:pPr>
        <w:pStyle w:val="ListeParagraf"/>
        <w:ind w:left="785"/>
        <w:jc w:val="both"/>
        <w:rPr>
          <w:lang w:val="en-GB"/>
        </w:rPr>
      </w:pPr>
    </w:p>
    <w:p w:rsidR="00B26394" w:rsidRPr="00B10718" w:rsidRDefault="00B10718" w:rsidP="00B10718">
      <w:pPr>
        <w:pStyle w:val="ListeParagraf"/>
        <w:ind w:left="785"/>
        <w:jc w:val="both"/>
        <w:rPr>
          <w:lang w:val="en-GB"/>
        </w:rPr>
      </w:pPr>
      <w:r w:rsidRPr="00B10718">
        <w:rPr>
          <w:lang w:val="en-GB"/>
        </w:rPr>
        <w:t>The students have the status of "Erasmus Candidate Student" with the announcement of the offi</w:t>
      </w:r>
      <w:r>
        <w:rPr>
          <w:lang w:val="en-GB"/>
        </w:rPr>
        <w:t>cial results after the election. Candidate</w:t>
      </w:r>
      <w:r w:rsidRPr="00B10718">
        <w:rPr>
          <w:lang w:val="en-GB"/>
        </w:rPr>
        <w:t xml:space="preserve"> students must submit their documents to the International Office.</w:t>
      </w:r>
      <w:r>
        <w:rPr>
          <w:lang w:val="en-GB"/>
        </w:rPr>
        <w:t xml:space="preserve"> </w:t>
      </w:r>
      <w:r w:rsidR="00940B82" w:rsidRPr="00B10718">
        <w:rPr>
          <w:lang w:val="en-GB"/>
        </w:rPr>
        <w:t>Grant agreement is signed with the student, showing the mobility dates and full grant. 3 month payments are made for internship mobility, and 3 month payments are made at the first stage for learning mobility. Payments are made to the student's Akbank Euro account</w:t>
      </w:r>
      <w:r w:rsidR="00940B82" w:rsidRPr="000A37A8">
        <w:rPr>
          <w:lang w:val="en-GB"/>
        </w:rPr>
        <w:t>.</w:t>
      </w:r>
      <w:r w:rsidR="00D90AB3" w:rsidRPr="000A37A8">
        <w:rPr>
          <w:lang w:val="en-GB"/>
        </w:rPr>
        <w:t xml:space="preserve"> </w:t>
      </w:r>
    </w:p>
    <w:sectPr w:rsidR="00B26394" w:rsidRPr="00B10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16E70"/>
    <w:multiLevelType w:val="hybridMultilevel"/>
    <w:tmpl w:val="B0BEEC00"/>
    <w:lvl w:ilvl="0" w:tplc="1350270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118498D"/>
    <w:multiLevelType w:val="hybridMultilevel"/>
    <w:tmpl w:val="7CAC77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653DAC"/>
    <w:multiLevelType w:val="hybridMultilevel"/>
    <w:tmpl w:val="59DCA1C6"/>
    <w:lvl w:ilvl="0" w:tplc="041F0001">
      <w:start w:val="1"/>
      <w:numFmt w:val="bullet"/>
      <w:lvlText w:val=""/>
      <w:lvlJc w:val="left"/>
      <w:pPr>
        <w:ind w:left="1505" w:hanging="360"/>
      </w:pPr>
      <w:rPr>
        <w:rFonts w:ascii="Symbol" w:hAnsi="Symbol" w:hint="default"/>
      </w:rPr>
    </w:lvl>
    <w:lvl w:ilvl="1" w:tplc="041F0003" w:tentative="1">
      <w:start w:val="1"/>
      <w:numFmt w:val="bullet"/>
      <w:lvlText w:val="o"/>
      <w:lvlJc w:val="left"/>
      <w:pPr>
        <w:ind w:left="2225" w:hanging="360"/>
      </w:pPr>
      <w:rPr>
        <w:rFonts w:ascii="Courier New" w:hAnsi="Courier New" w:cs="Courier New" w:hint="default"/>
      </w:rPr>
    </w:lvl>
    <w:lvl w:ilvl="2" w:tplc="041F0005" w:tentative="1">
      <w:start w:val="1"/>
      <w:numFmt w:val="bullet"/>
      <w:lvlText w:val=""/>
      <w:lvlJc w:val="left"/>
      <w:pPr>
        <w:ind w:left="2945" w:hanging="360"/>
      </w:pPr>
      <w:rPr>
        <w:rFonts w:ascii="Wingdings" w:hAnsi="Wingdings" w:hint="default"/>
      </w:rPr>
    </w:lvl>
    <w:lvl w:ilvl="3" w:tplc="041F0001" w:tentative="1">
      <w:start w:val="1"/>
      <w:numFmt w:val="bullet"/>
      <w:lvlText w:val=""/>
      <w:lvlJc w:val="left"/>
      <w:pPr>
        <w:ind w:left="3665" w:hanging="360"/>
      </w:pPr>
      <w:rPr>
        <w:rFonts w:ascii="Symbol" w:hAnsi="Symbol" w:hint="default"/>
      </w:rPr>
    </w:lvl>
    <w:lvl w:ilvl="4" w:tplc="041F0003" w:tentative="1">
      <w:start w:val="1"/>
      <w:numFmt w:val="bullet"/>
      <w:lvlText w:val="o"/>
      <w:lvlJc w:val="left"/>
      <w:pPr>
        <w:ind w:left="4385" w:hanging="360"/>
      </w:pPr>
      <w:rPr>
        <w:rFonts w:ascii="Courier New" w:hAnsi="Courier New" w:cs="Courier New" w:hint="default"/>
      </w:rPr>
    </w:lvl>
    <w:lvl w:ilvl="5" w:tplc="041F0005" w:tentative="1">
      <w:start w:val="1"/>
      <w:numFmt w:val="bullet"/>
      <w:lvlText w:val=""/>
      <w:lvlJc w:val="left"/>
      <w:pPr>
        <w:ind w:left="5105" w:hanging="360"/>
      </w:pPr>
      <w:rPr>
        <w:rFonts w:ascii="Wingdings" w:hAnsi="Wingdings" w:hint="default"/>
      </w:rPr>
    </w:lvl>
    <w:lvl w:ilvl="6" w:tplc="041F0001" w:tentative="1">
      <w:start w:val="1"/>
      <w:numFmt w:val="bullet"/>
      <w:lvlText w:val=""/>
      <w:lvlJc w:val="left"/>
      <w:pPr>
        <w:ind w:left="5825" w:hanging="360"/>
      </w:pPr>
      <w:rPr>
        <w:rFonts w:ascii="Symbol" w:hAnsi="Symbol" w:hint="default"/>
      </w:rPr>
    </w:lvl>
    <w:lvl w:ilvl="7" w:tplc="041F0003" w:tentative="1">
      <w:start w:val="1"/>
      <w:numFmt w:val="bullet"/>
      <w:lvlText w:val="o"/>
      <w:lvlJc w:val="left"/>
      <w:pPr>
        <w:ind w:left="6545" w:hanging="360"/>
      </w:pPr>
      <w:rPr>
        <w:rFonts w:ascii="Courier New" w:hAnsi="Courier New" w:cs="Courier New" w:hint="default"/>
      </w:rPr>
    </w:lvl>
    <w:lvl w:ilvl="8" w:tplc="041F0005" w:tentative="1">
      <w:start w:val="1"/>
      <w:numFmt w:val="bullet"/>
      <w:lvlText w:val=""/>
      <w:lvlJc w:val="left"/>
      <w:pPr>
        <w:ind w:left="7265" w:hanging="360"/>
      </w:pPr>
      <w:rPr>
        <w:rFonts w:ascii="Wingdings" w:hAnsi="Wingdings" w:hint="default"/>
      </w:rPr>
    </w:lvl>
  </w:abstractNum>
  <w:abstractNum w:abstractNumId="3" w15:restartNumberingAfterBreak="0">
    <w:nsid w:val="32215508"/>
    <w:multiLevelType w:val="hybridMultilevel"/>
    <w:tmpl w:val="5418AF52"/>
    <w:lvl w:ilvl="0" w:tplc="826AB7D4">
      <w:start w:val="1"/>
      <w:numFmt w:val="decimal"/>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4" w15:restartNumberingAfterBreak="0">
    <w:nsid w:val="4F5071E3"/>
    <w:multiLevelType w:val="hybridMultilevel"/>
    <w:tmpl w:val="C9740E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C179B"/>
    <w:multiLevelType w:val="hybridMultilevel"/>
    <w:tmpl w:val="348AD9C4"/>
    <w:lvl w:ilvl="0" w:tplc="D0000C0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DB56C4"/>
    <w:multiLevelType w:val="hybridMultilevel"/>
    <w:tmpl w:val="79FAD9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B3"/>
    <w:rsid w:val="000A37A8"/>
    <w:rsid w:val="00107A98"/>
    <w:rsid w:val="0017663E"/>
    <w:rsid w:val="001E55E6"/>
    <w:rsid w:val="002854EC"/>
    <w:rsid w:val="002D4812"/>
    <w:rsid w:val="003E2D27"/>
    <w:rsid w:val="003F2000"/>
    <w:rsid w:val="004647B2"/>
    <w:rsid w:val="00472076"/>
    <w:rsid w:val="004D0E8E"/>
    <w:rsid w:val="00516880"/>
    <w:rsid w:val="00622898"/>
    <w:rsid w:val="006C4D76"/>
    <w:rsid w:val="006C5CAB"/>
    <w:rsid w:val="006D127C"/>
    <w:rsid w:val="006F3EE0"/>
    <w:rsid w:val="007417A7"/>
    <w:rsid w:val="00781759"/>
    <w:rsid w:val="007F03BD"/>
    <w:rsid w:val="00864809"/>
    <w:rsid w:val="008E187D"/>
    <w:rsid w:val="00940B82"/>
    <w:rsid w:val="009D4BED"/>
    <w:rsid w:val="00A153F9"/>
    <w:rsid w:val="00B070A3"/>
    <w:rsid w:val="00B10718"/>
    <w:rsid w:val="00B26394"/>
    <w:rsid w:val="00BE75AF"/>
    <w:rsid w:val="00C17FC7"/>
    <w:rsid w:val="00CC005C"/>
    <w:rsid w:val="00CE7B00"/>
    <w:rsid w:val="00D018A8"/>
    <w:rsid w:val="00D1433C"/>
    <w:rsid w:val="00D22BAB"/>
    <w:rsid w:val="00D90AB3"/>
    <w:rsid w:val="00DA55CD"/>
    <w:rsid w:val="00E03DB2"/>
    <w:rsid w:val="00E122B3"/>
    <w:rsid w:val="00E257B6"/>
    <w:rsid w:val="00E423D2"/>
    <w:rsid w:val="00E44B2B"/>
    <w:rsid w:val="00E5745B"/>
    <w:rsid w:val="00E60847"/>
    <w:rsid w:val="00F71537"/>
    <w:rsid w:val="00F717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D4FD6-85EA-4E9A-96A1-D5F89526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2076"/>
    <w:pPr>
      <w:ind w:left="720"/>
      <w:contextualSpacing/>
    </w:pPr>
  </w:style>
  <w:style w:type="character" w:styleId="Kpr">
    <w:name w:val="Hyperlink"/>
    <w:basedOn w:val="VarsaylanParagrafYazTipi"/>
    <w:uiPriority w:val="99"/>
    <w:unhideWhenUsed/>
    <w:rsid w:val="007417A7"/>
    <w:rPr>
      <w:color w:val="0563C1" w:themeColor="hyperlink"/>
      <w:u w:val="single"/>
    </w:rPr>
  </w:style>
  <w:style w:type="table" w:styleId="TabloKlavuzu">
    <w:name w:val="Table Grid"/>
    <w:basedOn w:val="NormalTablo"/>
    <w:uiPriority w:val="39"/>
    <w:rsid w:val="00D01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B070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592461">
      <w:bodyDiv w:val="1"/>
      <w:marLeft w:val="0"/>
      <w:marRight w:val="0"/>
      <w:marTop w:val="0"/>
      <w:marBottom w:val="0"/>
      <w:divBdr>
        <w:top w:val="none" w:sz="0" w:space="0" w:color="auto"/>
        <w:left w:val="none" w:sz="0" w:space="0" w:color="auto"/>
        <w:bottom w:val="none" w:sz="0" w:space="0" w:color="auto"/>
        <w:right w:val="none" w:sz="0" w:space="0" w:color="auto"/>
      </w:divBdr>
    </w:div>
    <w:div w:id="21009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ikun.edu.tr/international/announcement" TargetMode="External"/><Relationship Id="rId5" Type="http://schemas.openxmlformats.org/officeDocument/2006/relationships/hyperlink" Target="https://mobility.isikun.edu.tr/KION.UI.Web.ExchangeProgram/Public/AgreementList.aspx?pId=73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901</Words>
  <Characters>5141</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Betul SOZSAV ER</dc:creator>
  <cp:keywords/>
  <dc:description/>
  <cp:lastModifiedBy>Betul SOZSAV ER</cp:lastModifiedBy>
  <cp:revision>5</cp:revision>
  <dcterms:created xsi:type="dcterms:W3CDTF">2021-03-31T12:37:00Z</dcterms:created>
  <dcterms:modified xsi:type="dcterms:W3CDTF">2021-03-31T12:59:00Z</dcterms:modified>
</cp:coreProperties>
</file>